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beforeAutospacing="0" w:afterAutospacing="0" w:line="360" w:lineRule="auto"/>
        <w:ind w:left="0" w:leftChars="0" w:right="0" w:rightChars="0"/>
        <w:jc w:val="center"/>
        <w:textAlignment w:val="auto"/>
        <w:outlineLvl w:val="9"/>
        <w:rPr>
          <w:rFonts w:hint="eastAsia"/>
          <w:sz w:val="21"/>
          <w:szCs w:val="21"/>
          <w:lang w:eastAsia="zh-CN"/>
        </w:rPr>
      </w:pPr>
      <w:r>
        <w:rPr>
          <w:rFonts w:hint="eastAsia"/>
          <w:sz w:val="21"/>
          <w:szCs w:val="21"/>
          <w:lang w:eastAsia="zh-CN"/>
        </w:rPr>
        <w:t>生涯规划教育的起源、发展和实践</w:t>
      </w:r>
    </w:p>
    <w:p>
      <w:pPr>
        <w:keepNext w:val="0"/>
        <w:keepLines w:val="0"/>
        <w:pageBreakBefore w:val="0"/>
        <w:numPr>
          <w:ilvl w:val="0"/>
          <w:numId w:val="1"/>
        </w:numPr>
        <w:kinsoku/>
        <w:wordWrap/>
        <w:overflowPunct/>
        <w:topLinePunct w:val="0"/>
        <w:autoSpaceDE/>
        <w:autoSpaceDN/>
        <w:bidi w:val="0"/>
        <w:adjustRightInd/>
        <w:snapToGrid/>
        <w:spacing w:beforeAutospacing="0" w:afterAutospacing="0" w:line="360" w:lineRule="auto"/>
        <w:ind w:left="0" w:leftChars="0" w:right="0" w:rightChars="0"/>
        <w:jc w:val="left"/>
        <w:textAlignment w:val="auto"/>
        <w:outlineLvl w:val="9"/>
        <w:rPr>
          <w:rFonts w:hint="eastAsia"/>
          <w:sz w:val="21"/>
          <w:szCs w:val="21"/>
          <w:lang w:eastAsia="zh-CN"/>
        </w:rPr>
      </w:pPr>
      <w:r>
        <w:rPr>
          <w:rFonts w:hint="eastAsia"/>
          <w:sz w:val="21"/>
          <w:szCs w:val="21"/>
          <w:lang w:eastAsia="zh-CN"/>
        </w:rPr>
        <w:t>职业规划与生涯规划教育的起源与发展</w:t>
      </w:r>
    </w:p>
    <w:p>
      <w:pPr>
        <w:keepNext w:val="0"/>
        <w:keepLines w:val="0"/>
        <w:pageBreakBefore w:val="0"/>
        <w:numPr>
          <w:ilvl w:val="0"/>
          <w:numId w:val="2"/>
        </w:numPr>
        <w:kinsoku/>
        <w:wordWrap/>
        <w:overflowPunct/>
        <w:topLinePunct w:val="0"/>
        <w:autoSpaceDE/>
        <w:autoSpaceDN/>
        <w:bidi w:val="0"/>
        <w:adjustRightInd/>
        <w:snapToGrid/>
        <w:spacing w:beforeAutospacing="0" w:afterAutospacing="0" w:line="360" w:lineRule="auto"/>
        <w:ind w:left="0" w:leftChars="0" w:right="0" w:rightChars="0"/>
        <w:jc w:val="left"/>
        <w:textAlignment w:val="auto"/>
        <w:outlineLvl w:val="9"/>
        <w:rPr>
          <w:rFonts w:hint="eastAsia"/>
          <w:sz w:val="21"/>
          <w:szCs w:val="21"/>
          <w:lang w:val="en-US" w:eastAsia="zh-CN"/>
        </w:rPr>
      </w:pPr>
      <w:r>
        <w:rPr>
          <w:rFonts w:hint="eastAsia"/>
          <w:sz w:val="21"/>
          <w:szCs w:val="21"/>
          <w:lang w:val="en-US" w:eastAsia="zh-CN"/>
        </w:rPr>
        <w:t>职业指导是以1908年美国的帕森斯在波士顿设置职业咨询所谓开端。以后在他的影响下“特性-因素”理论，职业指导开始在美国乃至西方世界蔓延。职业指导也以“生涯教育、职业咨询、职业规划”等各种称呼发展下去。至今发展为“职业规划与生涯教育”的概念，一直广泛传播。</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left="0" w:leftChars="0" w:right="0" w:rightChars="0"/>
        <w:jc w:val="left"/>
        <w:textAlignment w:val="auto"/>
        <w:outlineLvl w:val="9"/>
        <w:rPr>
          <w:rFonts w:hint="eastAsia"/>
          <w:sz w:val="21"/>
          <w:szCs w:val="21"/>
          <w:lang w:val="en-US" w:eastAsia="zh-CN"/>
        </w:rPr>
      </w:pPr>
      <w:r>
        <w:rPr>
          <w:rFonts w:hint="eastAsia"/>
          <w:sz w:val="21"/>
          <w:szCs w:val="21"/>
          <w:lang w:val="en-US" w:eastAsia="zh-CN"/>
        </w:rPr>
        <w:t>（由于历史经济原因，职业指导最初的目的只有一个：尽快帮助青年选择合适自己的职业。）</w:t>
      </w:r>
    </w:p>
    <w:p>
      <w:pPr>
        <w:keepNext w:val="0"/>
        <w:keepLines w:val="0"/>
        <w:pageBreakBefore w:val="0"/>
        <w:numPr>
          <w:ilvl w:val="0"/>
          <w:numId w:val="2"/>
        </w:numPr>
        <w:kinsoku/>
        <w:wordWrap/>
        <w:overflowPunct/>
        <w:topLinePunct w:val="0"/>
        <w:autoSpaceDE/>
        <w:autoSpaceDN/>
        <w:bidi w:val="0"/>
        <w:adjustRightInd/>
        <w:snapToGrid/>
        <w:spacing w:beforeAutospacing="0" w:afterAutospacing="0" w:line="360" w:lineRule="auto"/>
        <w:ind w:left="0" w:leftChars="0" w:right="0" w:rightChars="0"/>
        <w:jc w:val="left"/>
        <w:textAlignment w:val="auto"/>
        <w:outlineLvl w:val="9"/>
        <w:rPr>
          <w:rFonts w:hint="eastAsia"/>
          <w:sz w:val="21"/>
          <w:szCs w:val="21"/>
          <w:lang w:val="en-US" w:eastAsia="zh-CN"/>
        </w:rPr>
      </w:pPr>
      <w:r>
        <w:rPr>
          <w:rFonts w:hint="eastAsia"/>
          <w:sz w:val="21"/>
          <w:szCs w:val="21"/>
          <w:lang w:val="en-US" w:eastAsia="zh-CN"/>
        </w:rPr>
        <w:t>从20世纪初帕森斯“特性-因素”理论到20世纪50年代舒伯的职业发展理论是影响比较大的基本理论之一。</w:t>
      </w:r>
    </w:p>
    <w:p>
      <w:pPr>
        <w:keepNext w:val="0"/>
        <w:keepLines w:val="0"/>
        <w:pageBreakBefore w:val="0"/>
        <w:numPr>
          <w:ilvl w:val="0"/>
          <w:numId w:val="2"/>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经过一百多年的发展，世界范围内职业规划与生涯教育的不同类型及其实践如下</w:t>
      </w:r>
    </w:p>
    <w:p>
      <w:pPr>
        <w:keepNext w:val="0"/>
        <w:keepLines w:val="0"/>
        <w:pageBreakBefore w:val="0"/>
        <w:numPr>
          <w:ilvl w:val="0"/>
          <w:numId w:val="3"/>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以人才的合理利用为重点的类型</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英国、法国、德国、荷兰等！一般由职业介绍机关和劳动行政机关承担。</w:t>
      </w:r>
    </w:p>
    <w:p>
      <w:pPr>
        <w:keepNext w:val="0"/>
        <w:keepLines w:val="0"/>
        <w:pageBreakBefore w:val="0"/>
        <w:numPr>
          <w:ilvl w:val="0"/>
          <w:numId w:val="3"/>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以人才本身的发展为主要支点的类型</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美国、比利时、波兰、意大利等这类主要由各地教育部即学校主持。</w:t>
      </w:r>
    </w:p>
    <w:p>
      <w:pPr>
        <w:keepNext w:val="0"/>
        <w:keepLines w:val="0"/>
        <w:pageBreakBefore w:val="0"/>
        <w:numPr>
          <w:ilvl w:val="0"/>
          <w:numId w:val="3"/>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即注意人本身的发展，又注意人才合理利用的类型</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瑞典、日本、我国台湾，这类由我国教育部门与劳动部门相互配合，双管齐下。</w:t>
      </w:r>
    </w:p>
    <w:p>
      <w:pPr>
        <w:keepNext w:val="0"/>
        <w:keepLines w:val="0"/>
        <w:pageBreakBefore w:val="0"/>
        <w:numPr>
          <w:numId w:val="0"/>
        </w:numPr>
        <w:kinsoku/>
        <w:wordWrap/>
        <w:overflowPunct/>
        <w:topLinePunct w:val="0"/>
        <w:autoSpaceDE/>
        <w:autoSpaceDN/>
        <w:bidi w:val="0"/>
        <w:adjustRightInd/>
        <w:snapToGrid/>
        <w:spacing w:beforeAutospacing="0" w:afterAutospacing="0" w:line="360" w:lineRule="auto"/>
        <w:ind w:right="0" w:rightChars="0"/>
        <w:textAlignment w:val="auto"/>
        <w:outlineLvl w:val="9"/>
        <w:rPr>
          <w:rFonts w:hint="eastAsia"/>
          <w:sz w:val="21"/>
          <w:szCs w:val="21"/>
          <w:lang w:val="en-US" w:eastAsia="zh-CN"/>
        </w:rPr>
      </w:pPr>
      <w:r>
        <w:rPr>
          <w:rFonts w:hint="eastAsia"/>
          <w:sz w:val="21"/>
          <w:szCs w:val="21"/>
          <w:lang w:val="en-US" w:eastAsia="zh-CN"/>
        </w:rPr>
        <w:t>二、几个国家的职业规划与生涯教育情况</w:t>
      </w:r>
    </w:p>
    <w:p>
      <w:pPr>
        <w:keepNext w:val="0"/>
        <w:keepLines w:val="0"/>
        <w:pageBreakBefore w:val="0"/>
        <w:numPr>
          <w:ilvl w:val="0"/>
          <w:numId w:val="4"/>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德国</w:t>
      </w:r>
    </w:p>
    <w:p>
      <w:pPr>
        <w:keepNext w:val="0"/>
        <w:keepLines w:val="0"/>
        <w:pageBreakBefore w:val="0"/>
        <w:numPr>
          <w:numId w:val="0"/>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德国实行九年义务教育制度（6-15岁），义务教育之后，全日制学生必须接受三年的职业技能训练教育（16-18岁）。</w:t>
      </w:r>
    </w:p>
    <w:p>
      <w:pPr>
        <w:keepNext w:val="0"/>
        <w:keepLines w:val="0"/>
        <w:pageBreakBefore w:val="0"/>
        <w:numPr>
          <w:ilvl w:val="0"/>
          <w:numId w:val="4"/>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r>
        <w:rPr>
          <w:rFonts w:hint="eastAsia"/>
          <w:sz w:val="21"/>
          <w:szCs w:val="21"/>
          <w:lang w:val="en-US" w:eastAsia="zh-CN"/>
        </w:rPr>
        <w:t>美国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360"/>
        <w:textAlignment w:val="auto"/>
        <w:outlineLvl w:val="9"/>
        <w:rPr>
          <w:sz w:val="21"/>
          <w:szCs w:val="21"/>
        </w:rPr>
      </w:pPr>
      <w:r>
        <w:rPr>
          <w:sz w:val="21"/>
          <w:szCs w:val="21"/>
        </w:rPr>
        <w:t>美国职业生涯教育从六岁开始。美国有一个国家职业信息协调委员会(NOICC)，该委员会早在1989年就组织制定、首次发布了《国家职业发展指导方针》。该指导方针提倡规划职业生涯教育要从六岁开始，他们把所有的人群分成四类，第一类是小学，职业教育的重点是培养学生的职业意识。第二类是初中，职业生涯教育的重点是培养学生的职业探索。第三类是高中，第四类是18岁以后，不同的时间段有不同的职业生涯分工。规划要求要孩子学会对自己的兴趣、专长、特点、能力等进行“自我认识”;要进行“教育与职业关系的探索”，研究教育与职业的关系，了解职业信息的获得和使用、工作与学习的关系、工作与社会的关系等;还要学习职业决策和进行“职业规划”。</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outlineLvl w:val="9"/>
        <w:rPr>
          <w:rFonts w:hint="eastAsia" w:eastAsiaTheme="minorEastAsia"/>
          <w:sz w:val="21"/>
          <w:szCs w:val="21"/>
          <w:lang w:eastAsia="zh-CN"/>
        </w:rPr>
      </w:pPr>
      <w:r>
        <w:rPr>
          <w:rFonts w:hint="eastAsia"/>
          <w:sz w:val="21"/>
          <w:szCs w:val="21"/>
          <w:lang w:eastAsia="zh-CN"/>
        </w:rPr>
        <w:t>（</w:t>
      </w:r>
      <w:r>
        <w:rPr>
          <w:rFonts w:hint="eastAsia"/>
          <w:sz w:val="21"/>
          <w:szCs w:val="21"/>
          <w:lang w:val="en-US" w:eastAsia="zh-CN"/>
        </w:rPr>
        <w:t>3）日本</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20"/>
        <w:textAlignment w:val="auto"/>
        <w:outlineLvl w:val="9"/>
        <w:rPr>
          <w:sz w:val="21"/>
          <w:szCs w:val="21"/>
        </w:rPr>
      </w:pPr>
      <w:r>
        <w:rPr>
          <w:sz w:val="21"/>
          <w:szCs w:val="21"/>
        </w:rPr>
        <w:t>日本的生涯规划教育。在日本，无论是小学、初中还是高中、大学，都认识到职业生涯教育的重要性，并根据其理念付诸实践。从2006年开始，日本的《高中学习指导要领》就扩大了职业课程的选修科目，加强了生物、生命科学、制造业、通用技术类科目，对农业、工业、商业等传统职业课程进行了修改。日本文部科学省从2000年起，用3年时间开展了专业教师培训，还为高中学校提供了职业教育课程所必要的设备、实习与实验经费。</w:t>
      </w:r>
    </w:p>
    <w:p>
      <w:pPr>
        <w:pStyle w:val="5"/>
        <w:keepNext w:val="0"/>
        <w:keepLines w:val="0"/>
        <w:pageBreakBefore w:val="0"/>
        <w:widowControl/>
        <w:numPr>
          <w:ilvl w:val="0"/>
          <w:numId w:val="5"/>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20"/>
        <w:textAlignment w:val="auto"/>
        <w:outlineLvl w:val="9"/>
        <w:rPr>
          <w:rFonts w:hint="eastAsia"/>
          <w:sz w:val="21"/>
          <w:szCs w:val="21"/>
          <w:lang w:val="en-US" w:eastAsia="zh-CN"/>
        </w:rPr>
      </w:pPr>
      <w:r>
        <w:rPr>
          <w:rFonts w:hint="eastAsia"/>
          <w:sz w:val="21"/>
          <w:szCs w:val="21"/>
          <w:lang w:val="en-US" w:eastAsia="zh-CN"/>
        </w:rPr>
        <w:t>我国台湾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我国台湾地区的生涯教育形成了小学、初中、高中到大学的连续体系。</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在国小(小学)就开始提供儿童生涯辅导，以增进儿童的自我觉察，培养正确的职业观念和工作态度，让学生了解教育与未来职业之间的关系及学习做决定的技巧等。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中学阶段则更是采取了形式多样的生涯辅导，有专门的生涯教育课程，还要个别辅导、团体辅导等。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另外，许多高中在录取初中生时会将职业生涯课程作为成绩的参考标准之一。大学录取学生时，除了高考分数外，还需要经过面试的程序，其中一项是自传，内容必须包括自己对未来职业的规划。</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sz w:val="21"/>
          <w:szCs w:val="21"/>
        </w:rPr>
      </w:pPr>
      <w:r>
        <w:rPr>
          <w:sz w:val="21"/>
          <w:szCs w:val="21"/>
        </w:rPr>
        <w:t>　　我国港台地区出版了许多有关生涯规划与发展的读物，如《生涯定位》、《生涯发展与辅导》、《生涯规划的艺术》、《职业生涯规划》、《一辈子的事:生涯规划与潜能开发》《人生的决策：生涯规划》等。</w:t>
      </w:r>
    </w:p>
    <w:p>
      <w:pPr>
        <w:pStyle w:val="5"/>
        <w:keepNext w:val="0"/>
        <w:keepLines w:val="0"/>
        <w:pageBreakBefore w:val="0"/>
        <w:widowControl/>
        <w:numPr>
          <w:ilvl w:val="0"/>
          <w:numId w:val="6"/>
        </w:numPr>
        <w:suppressLineNumbers w:val="0"/>
        <w:kinsoku/>
        <w:wordWrap/>
        <w:overflowPunct/>
        <w:topLinePunct w:val="0"/>
        <w:autoSpaceDE/>
        <w:autoSpaceDN/>
        <w:bidi w:val="0"/>
        <w:adjustRightInd/>
        <w:snapToGrid/>
        <w:spacing w:before="0" w:beforeAutospacing="0" w:after="0" w:afterAutospacing="0" w:line="360" w:lineRule="auto"/>
        <w:ind w:left="420" w:leftChars="0" w:right="0" w:rightChars="0"/>
        <w:textAlignment w:val="auto"/>
        <w:outlineLvl w:val="9"/>
        <w:rPr>
          <w:rFonts w:hint="eastAsia"/>
          <w:sz w:val="21"/>
          <w:szCs w:val="21"/>
          <w:lang w:val="en-US" w:eastAsia="zh-CN"/>
        </w:rPr>
      </w:pPr>
      <w:r>
        <w:rPr>
          <w:rFonts w:hint="eastAsia"/>
          <w:sz w:val="21"/>
          <w:szCs w:val="21"/>
          <w:lang w:val="en-US" w:eastAsia="zh-CN"/>
        </w:rPr>
        <w:t>我国生涯规划教育</w:t>
      </w:r>
    </w:p>
    <w:p>
      <w:pPr>
        <w:pStyle w:val="5"/>
        <w:keepNext w:val="0"/>
        <w:keepLines w:val="0"/>
        <w:pageBreakBefore w:val="0"/>
        <w:widowControl/>
        <w:numPr>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textAlignment w:val="auto"/>
        <w:outlineLvl w:val="9"/>
        <w:rPr>
          <w:rFonts w:hint="eastAsia"/>
          <w:sz w:val="21"/>
          <w:szCs w:val="21"/>
          <w:lang w:val="en-US" w:eastAsia="zh-CN"/>
        </w:rPr>
      </w:pPr>
      <w:r>
        <w:rPr>
          <w:rFonts w:hint="eastAsia"/>
          <w:sz w:val="21"/>
          <w:szCs w:val="21"/>
          <w:lang w:val="en-US" w:eastAsia="zh-CN"/>
        </w:rPr>
        <w:t>1995年国家教委基础教育司发布了《普通中学指导纲要（试行）》在高考体制下，学校阶段的职业指导活动没有大面积有效推广。</w:t>
      </w:r>
    </w:p>
    <w:p>
      <w:pPr>
        <w:pStyle w:val="5"/>
        <w:keepNext w:val="0"/>
        <w:keepLines w:val="0"/>
        <w:pageBreakBefore w:val="0"/>
        <w:widowControl/>
        <w:numPr>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textAlignment w:val="auto"/>
        <w:outlineLvl w:val="9"/>
        <w:rPr>
          <w:rFonts w:hint="eastAsia"/>
          <w:sz w:val="21"/>
          <w:szCs w:val="21"/>
          <w:lang w:val="en-US" w:eastAsia="zh-CN"/>
        </w:rPr>
      </w:pPr>
      <w:r>
        <w:rPr>
          <w:rFonts w:hint="eastAsia"/>
          <w:sz w:val="21"/>
          <w:szCs w:val="21"/>
          <w:lang w:val="en-US" w:eastAsia="zh-CN"/>
        </w:rPr>
        <w:t>2008年教育部发布《大学生职业发展与就业指导课程教学要求》，明确要求高校开设大学“职业规划”课程。此后国务院发布《国家中长期教育改革和发展纲要（2010-2020）》明确提出，加强学生学业指导。</w:t>
      </w:r>
    </w:p>
    <w:p>
      <w:pPr>
        <w:pStyle w:val="5"/>
        <w:keepNext w:val="0"/>
        <w:keepLines w:val="0"/>
        <w:pageBreakBefore w:val="0"/>
        <w:widowControl/>
        <w:numPr>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20"/>
        <w:textAlignment w:val="auto"/>
        <w:outlineLvl w:val="9"/>
        <w:rPr>
          <w:rFonts w:hint="eastAsia"/>
          <w:sz w:val="21"/>
          <w:szCs w:val="21"/>
          <w:lang w:val="en-US" w:eastAsia="zh-CN"/>
        </w:rPr>
      </w:pPr>
      <w:r>
        <w:rPr>
          <w:rFonts w:hint="eastAsia"/>
          <w:sz w:val="21"/>
          <w:szCs w:val="21"/>
          <w:lang w:val="en-US" w:eastAsia="zh-CN"/>
        </w:rPr>
        <w:t>2014年《关于深化考试招生制度改革的实施意见》，标志着新一轮高考改革的全面启动，职业生涯规划教育的浪潮也随之掀起。</w:t>
      </w:r>
    </w:p>
    <w:p>
      <w:pPr>
        <w:pStyle w:val="5"/>
        <w:keepNext w:val="0"/>
        <w:keepLines w:val="0"/>
        <w:pageBreakBefore w:val="0"/>
        <w:widowControl/>
        <w:numPr>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outlineLvl w:val="9"/>
        <w:rPr>
          <w:rFonts w:hint="eastAsia"/>
          <w:sz w:val="21"/>
          <w:szCs w:val="21"/>
          <w:lang w:val="en-US" w:eastAsia="zh-CN"/>
        </w:rPr>
      </w:pPr>
      <w:bookmarkStart w:id="0" w:name="_GoBack"/>
      <w:bookmarkEnd w:id="0"/>
    </w:p>
    <w:p>
      <w:pPr>
        <w:keepNext w:val="0"/>
        <w:keepLines w:val="0"/>
        <w:pageBreakBefore w:val="0"/>
        <w:numPr>
          <w:numId w:val="0"/>
        </w:numPr>
        <w:kinsoku/>
        <w:wordWrap/>
        <w:overflowPunct/>
        <w:topLinePunct w:val="0"/>
        <w:autoSpaceDE/>
        <w:autoSpaceDN/>
        <w:bidi w:val="0"/>
        <w:adjustRightInd/>
        <w:snapToGrid/>
        <w:spacing w:beforeAutospacing="0" w:afterAutospacing="0" w:line="360" w:lineRule="auto"/>
        <w:ind w:left="0" w:leftChars="0" w:right="0" w:rightChars="0"/>
        <w:textAlignment w:val="auto"/>
        <w:outlineLvl w:val="9"/>
        <w:rPr>
          <w:rFonts w:hint="eastAsia"/>
          <w:sz w:val="21"/>
          <w:szCs w:val="21"/>
          <w:lang w:val="en-US" w:eastAsia="zh-CN"/>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Wingdings">
    <w:panose1 w:val="0500000000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 w:name="楷体_GB2312">
    <w:altName w:val="楷体"/>
    <w:panose1 w:val="00000000000000000000"/>
    <w:charset w:val="86"/>
    <w:family w:val="modern"/>
    <w:pitch w:val="default"/>
    <w:sig w:usb0="00000000" w:usb1="00000000" w:usb2="00000010" w:usb3="00000000" w:csb0="00040000" w:csb1="00000000"/>
  </w:font>
  <w:font w:name="Courier New">
    <w:panose1 w:val="02070309020205020404"/>
    <w:charset w:val="00"/>
    <w:family w:val="modern"/>
    <w:pitch w:val="default"/>
    <w:sig w:usb0="E0002AFF" w:usb1="C0007843" w:usb2="00000009" w:usb3="00000000" w:csb0="400001FF" w:csb1="FFFF0000"/>
  </w:font>
  <w:font w:name="Arial Unicode MS">
    <w:panose1 w:val="020B0604020202020204"/>
    <w:charset w:val="86"/>
    <w:family w:val="swiss"/>
    <w:pitch w:val="default"/>
    <w:sig w:usb0="FFFFFFFF" w:usb1="E9FFFFFF" w:usb2="0000003F" w:usb3="00000000" w:csb0="603F01FF" w:csb1="FFFF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b/>
        <w:i/>
        <w:color w:val="F79646" w:themeColor="accent6"/>
        <w:sz w:val="21"/>
        <w:szCs w:val="21"/>
        <w14:textFill>
          <w14:solidFill>
            <w14:schemeClr w14:val="accent6"/>
          </w14:solidFill>
        </w14:textFill>
      </w:rPr>
    </w:pPr>
    <w:r>
      <w:rPr>
        <w:rFonts w:hint="eastAsia"/>
        <w:b/>
        <w:i/>
        <w:color w:val="F79646" w:themeColor="accent6"/>
        <w:sz w:val="21"/>
        <w:szCs w:val="21"/>
        <w14:textFill>
          <w14:solidFill>
            <w14:schemeClr w14:val="accent6"/>
          </w14:solidFill>
        </w14:textFill>
      </w:rPr>
      <w:t>网址：http://www.51xuanxiao.com                   全国免费咨询热线：400-990-5160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color w:val="A6A6A6" w:themeColor="background1" w:themeShade="A6"/>
        <w:sz w:val="32"/>
        <w:szCs w:val="32"/>
      </w:rPr>
    </w:pPr>
    <w:r>
      <w:pict>
        <v:shape id="PowerPlusWaterMarkObject6943668" o:spid="_x0000_s4098" o:spt="136" type="#_x0000_t136" style="position:absolute;left:0pt;height:83.6pt;width:501.8pt;mso-position-horizontal:center;mso-position-horizontal-relative:margin;mso-position-vertical:center;mso-position-vertical-relative:margin;rotation:20643840f;z-index:-251651072;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r>
      <w:rPr>
        <w:color w:val="F79646" w:themeColor="accent6"/>
        <w:sz w:val="32"/>
        <w:szCs w:val="32"/>
        <w14:textFill>
          <w14:solidFill>
            <w14:schemeClr w14:val="accent6"/>
          </w14:solidFill>
        </w14:textFill>
      </w:rPr>
      <w:drawing>
        <wp:anchor distT="0" distB="0" distL="114300" distR="114300" simplePos="0" relativeHeight="251659264" behindDoc="1" locked="0" layoutInCell="1" allowOverlap="1">
          <wp:simplePos x="0" y="0"/>
          <wp:positionH relativeFrom="column">
            <wp:posOffset>-1143000</wp:posOffset>
          </wp:positionH>
          <wp:positionV relativeFrom="paragraph">
            <wp:posOffset>-141605</wp:posOffset>
          </wp:positionV>
          <wp:extent cx="12249150" cy="45085"/>
          <wp:effectExtent l="0" t="0" r="0" b="0"/>
          <wp:wrapThrough wrapText="bothSides">
            <wp:wrapPolygon>
              <wp:start x="0" y="0"/>
              <wp:lineTo x="0" y="9127"/>
              <wp:lineTo x="21566" y="9127"/>
              <wp:lineTo x="21566" y="0"/>
              <wp:lineTo x="0" y="0"/>
            </wp:wrapPolygon>
          </wp:wrapThrough>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249150" cy="45085"/>
                  </a:xfrm>
                  <a:prstGeom prst="rect">
                    <a:avLst/>
                  </a:prstGeom>
                </pic:spPr>
              </pic:pic>
            </a:graphicData>
          </a:graphic>
        </wp:anchor>
      </w:drawing>
    </w:r>
    <w:r>
      <w:rPr>
        <w:color w:val="F79646" w:themeColor="accent6"/>
        <w:sz w:val="32"/>
        <w:szCs w:val="32"/>
        <w14:textFill>
          <w14:solidFill>
            <w14:schemeClr w14:val="accent6"/>
          </w14:solidFill>
        </w14:textFill>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-530860</wp:posOffset>
          </wp:positionV>
          <wp:extent cx="1085850" cy="361950"/>
          <wp:effectExtent l="0" t="0" r="0" b="0"/>
          <wp:wrapThrough wrapText="bothSides">
            <wp:wrapPolygon>
              <wp:start x="8337" y="0"/>
              <wp:lineTo x="0" y="1137"/>
              <wp:lineTo x="0" y="20463"/>
              <wp:lineTo x="21221" y="20463"/>
              <wp:lineTo x="21221" y="1137"/>
              <wp:lineTo x="9853" y="0"/>
              <wp:lineTo x="8337" y="0"/>
            </wp:wrapPolygon>
          </wp:wrapThrough>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085850" cy="361950"/>
                  </a:xfrm>
                  <a:prstGeom prst="rect">
                    <a:avLst/>
                  </a:prstGeom>
                </pic:spPr>
              </pic:pic>
            </a:graphicData>
          </a:graphic>
        </wp:anchor>
      </w:drawing>
    </w:r>
    <w:r>
      <w:rPr>
        <w:rFonts w:hint="eastAsia"/>
        <w:color w:val="F79646" w:themeColor="accent6"/>
        <w:sz w:val="32"/>
        <w:szCs w:val="32"/>
        <w14:textFill>
          <w14:solidFill>
            <w14:schemeClr w14:val="accent6"/>
          </w14:solidFill>
        </w14:textFill>
      </w:rPr>
      <w:t>51选校网生涯规划教育系统—</w:t>
    </w:r>
    <w:r>
      <w:rPr>
        <w:color w:val="F79646" w:themeColor="accent6"/>
        <w:sz w:val="32"/>
        <w:szCs w:val="32"/>
        <w14:textFill>
          <w14:solidFill>
            <w14:schemeClr w14:val="accent6"/>
          </w14:solidFill>
        </w14:textFill>
      </w:rPr>
      <w:t>生涯先行</w:t>
    </w:r>
    <w:r>
      <w:rPr>
        <w:rFonts w:hint="eastAsia"/>
        <w:color w:val="F79646" w:themeColor="accent6"/>
        <w:sz w:val="32"/>
        <w:szCs w:val="32"/>
        <w14:textFill>
          <w14:solidFill>
            <w14:schemeClr w14:val="accent6"/>
          </w14:solidFill>
        </w14:textFill>
      </w:rPr>
      <w:t>，</w:t>
    </w:r>
    <w:r>
      <w:rPr>
        <w:color w:val="F79646" w:themeColor="accent6"/>
        <w:sz w:val="32"/>
        <w:szCs w:val="32"/>
        <w14:textFill>
          <w14:solidFill>
            <w14:schemeClr w14:val="accent6"/>
          </w14:solidFill>
        </w14:textFill>
      </w:rPr>
      <w:t>升学无忧</w:t>
    </w:r>
    <w:r>
      <w:rPr>
        <w:rFonts w:hint="eastAsia"/>
        <w:color w:val="F79646" w:themeColor="accent6"/>
        <w:sz w:val="32"/>
        <w:szCs w:val="32"/>
        <w14:textFill>
          <w14:solidFill>
            <w14:schemeClr w14:val="accent6"/>
          </w14:solidFill>
        </w14:textFill>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6943667" o:spid="_x0000_s4099" o:spt="136" type="#_x0000_t136" style="position:absolute;left:0pt;height:83.6pt;width:501.8pt;mso-position-horizontal:center;mso-position-horizontal-relative:margin;mso-position-vertical:center;mso-position-vertical-relative:margin;rotation:20643840f;z-index:-251653120;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6943666" o:spid="_x0000_s4097" o:spt="136" type="#_x0000_t136" style="position:absolute;left:0pt;height:83.6pt;width:501.8pt;mso-position-horizontal:center;mso-position-horizontal-relative:margin;mso-position-vertical:center;mso-position-vertical-relative:margin;rotation:20643840f;z-index:-251655168;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10724D"/>
    <w:multiLevelType w:val="singleLevel"/>
    <w:tmpl w:val="5810724D"/>
    <w:lvl w:ilvl="0" w:tentative="0">
      <w:start w:val="1"/>
      <w:numFmt w:val="chineseCounting"/>
      <w:suff w:val="nothing"/>
      <w:lvlText w:val="%1、"/>
      <w:lvlJc w:val="left"/>
    </w:lvl>
  </w:abstractNum>
  <w:abstractNum w:abstractNumId="1">
    <w:nsid w:val="58107282"/>
    <w:multiLevelType w:val="singleLevel"/>
    <w:tmpl w:val="58107282"/>
    <w:lvl w:ilvl="0" w:tentative="0">
      <w:start w:val="1"/>
      <w:numFmt w:val="decimal"/>
      <w:suff w:val="nothing"/>
      <w:lvlText w:val="%1、"/>
      <w:lvlJc w:val="left"/>
    </w:lvl>
  </w:abstractNum>
  <w:abstractNum w:abstractNumId="2">
    <w:nsid w:val="581077BB"/>
    <w:multiLevelType w:val="singleLevel"/>
    <w:tmpl w:val="581077BB"/>
    <w:lvl w:ilvl="0" w:tentative="0">
      <w:start w:val="1"/>
      <w:numFmt w:val="decimal"/>
      <w:suff w:val="nothing"/>
      <w:lvlText w:val="（%1）"/>
      <w:lvlJc w:val="left"/>
    </w:lvl>
  </w:abstractNum>
  <w:abstractNum w:abstractNumId="3">
    <w:nsid w:val="5810794D"/>
    <w:multiLevelType w:val="singleLevel"/>
    <w:tmpl w:val="5810794D"/>
    <w:lvl w:ilvl="0" w:tentative="0">
      <w:start w:val="1"/>
      <w:numFmt w:val="decimal"/>
      <w:suff w:val="nothing"/>
      <w:lvlText w:val="（%1）"/>
      <w:lvlJc w:val="left"/>
    </w:lvl>
  </w:abstractNum>
  <w:abstractNum w:abstractNumId="4">
    <w:nsid w:val="5811BFD5"/>
    <w:multiLevelType w:val="singleLevel"/>
    <w:tmpl w:val="5811BFD5"/>
    <w:lvl w:ilvl="0" w:tentative="0">
      <w:start w:val="4"/>
      <w:numFmt w:val="decimal"/>
      <w:suff w:val="nothing"/>
      <w:lvlText w:val="（%1）"/>
      <w:lvlJc w:val="left"/>
    </w:lvl>
  </w:abstractNum>
  <w:abstractNum w:abstractNumId="5">
    <w:nsid w:val="5811C29F"/>
    <w:multiLevelType w:val="singleLevel"/>
    <w:tmpl w:val="5811C29F"/>
    <w:lvl w:ilvl="0" w:tentative="0">
      <w:start w:val="5"/>
      <w:numFmt w:val="decimal"/>
      <w:suff w:val="nothing"/>
      <w:lvlText w:val="%1、"/>
      <w:lvlJc w:val="left"/>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72C"/>
    <w:rsid w:val="00492A2C"/>
    <w:rsid w:val="004F672C"/>
    <w:rsid w:val="00635989"/>
    <w:rsid w:val="006D1AD4"/>
    <w:rsid w:val="007F6C25"/>
    <w:rsid w:val="00861C82"/>
    <w:rsid w:val="00A22108"/>
    <w:rsid w:val="00AF2BD9"/>
    <w:rsid w:val="00B24571"/>
    <w:rsid w:val="00D423D8"/>
    <w:rsid w:val="00E70ECD"/>
    <w:rsid w:val="00FF117C"/>
    <w:rsid w:val="27AE5530"/>
    <w:rsid w:val="28C8201A"/>
    <w:rsid w:val="4B5E72A6"/>
    <w:rsid w:val="5A5F0BB4"/>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uiPriority w:val="1"/>
  </w:style>
  <w:style w:type="table" w:default="1" w:styleId="9">
    <w:name w:val="Normal Table"/>
    <w:unhideWhenUsed/>
    <w:uiPriority w:val="99"/>
    <w:tblPr>
      <w:tblLayout w:type="fixed"/>
      <w:tblCellMar>
        <w:top w:w="0" w:type="dxa"/>
        <w:left w:w="108" w:type="dxa"/>
        <w:bottom w:w="0" w:type="dxa"/>
        <w:right w:w="108" w:type="dxa"/>
      </w:tblCellMar>
    </w:tblPr>
  </w:style>
  <w:style w:type="paragraph" w:styleId="2">
    <w:name w:val="Balloon Text"/>
    <w:basedOn w:val="1"/>
    <w:link w:val="12"/>
    <w:unhideWhenUsed/>
    <w:uiPriority w:val="99"/>
    <w:rPr>
      <w:sz w:val="18"/>
      <w:szCs w:val="18"/>
    </w:r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10"/>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spacing w:before="0" w:beforeAutospacing="1" w:after="0" w:afterAutospacing="1"/>
      <w:ind w:left="0" w:right="0"/>
      <w:jc w:val="left"/>
    </w:pPr>
    <w:rPr>
      <w:kern w:val="0"/>
      <w:sz w:val="24"/>
      <w:lang w:val="en-US" w:eastAsia="zh-CN" w:bidi="ar"/>
    </w:rPr>
  </w:style>
  <w:style w:type="character" w:styleId="7">
    <w:name w:val="Emphasis"/>
    <w:basedOn w:val="6"/>
    <w:qFormat/>
    <w:uiPriority w:val="20"/>
    <w:rPr>
      <w:i/>
      <w:iCs/>
    </w:rPr>
  </w:style>
  <w:style w:type="character" w:styleId="8">
    <w:name w:val="Hyperlink"/>
    <w:basedOn w:val="6"/>
    <w:unhideWhenUsed/>
    <w:uiPriority w:val="99"/>
    <w:rPr>
      <w:color w:val="0000FF" w:themeColor="hyperlink"/>
      <w:u w:val="single"/>
      <w14:textFill>
        <w14:solidFill>
          <w14:schemeClr w14:val="hlink"/>
        </w14:solidFill>
      </w14:textFill>
    </w:rPr>
  </w:style>
  <w:style w:type="character" w:customStyle="1" w:styleId="10">
    <w:name w:val="页眉 Char"/>
    <w:basedOn w:val="6"/>
    <w:link w:val="4"/>
    <w:uiPriority w:val="99"/>
    <w:rPr>
      <w:sz w:val="18"/>
      <w:szCs w:val="18"/>
    </w:rPr>
  </w:style>
  <w:style w:type="character" w:customStyle="1" w:styleId="11">
    <w:name w:val="页脚 Char"/>
    <w:basedOn w:val="6"/>
    <w:link w:val="3"/>
    <w:uiPriority w:val="99"/>
    <w:rPr>
      <w:sz w:val="18"/>
      <w:szCs w:val="18"/>
    </w:rPr>
  </w:style>
  <w:style w:type="character" w:customStyle="1" w:styleId="12">
    <w:name w:val="批注框文本 Char"/>
    <w:basedOn w:val="6"/>
    <w:link w:val="2"/>
    <w:semiHidden/>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Office_10.1.0.6030_F1E327BC-269C-435d-A152-05C5408002CA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2016-10-25T02:28:00Z</dcterms:created>
  <dc:creator>CYBD</dc:creator>
  <cp:lastModifiedBy>CYBD</cp:lastModifiedBy>
  <dcterms:modified xsi:type="dcterms:W3CDTF">2016-10-27T08:54:16Z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2052-10.1.0.6030</vt:lpwstr>
  </property>
</Properties>
</file>