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b/>
          <w:sz w:val="72"/>
          <w:szCs w:val="72"/>
          <w:lang w:val="zh-CN"/>
        </w:rPr>
      </w:pPr>
      <w:r>
        <w:drawing>
          <wp:anchor distT="0" distB="0" distL="114300" distR="114300" simplePos="0" relativeHeight="251678720" behindDoc="0" locked="0" layoutInCell="1" allowOverlap="1">
            <wp:simplePos x="0" y="0"/>
            <wp:positionH relativeFrom="margin">
              <wp:posOffset>-428625</wp:posOffset>
            </wp:positionH>
            <wp:positionV relativeFrom="paragraph">
              <wp:posOffset>-571500</wp:posOffset>
            </wp:positionV>
            <wp:extent cx="1447800" cy="1318260"/>
            <wp:effectExtent l="0" t="0" r="0" b="1524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47800" cy="1318084"/>
                    </a:xfrm>
                    <a:prstGeom prst="rect">
                      <a:avLst/>
                    </a:prstGeom>
                  </pic:spPr>
                </pic:pic>
              </a:graphicData>
            </a:graphic>
          </wp:anchor>
        </w:drawing>
      </w:r>
      <w:r>
        <w:rPr>
          <w:b/>
          <w:sz w:val="72"/>
          <w:szCs w:val="72"/>
        </w:rPr>
        <w:drawing>
          <wp:anchor distT="0" distB="0" distL="114300" distR="114300" simplePos="0" relativeHeight="251670528" behindDoc="1" locked="0" layoutInCell="1" allowOverlap="1">
            <wp:simplePos x="0" y="0"/>
            <wp:positionH relativeFrom="page">
              <wp:align>left</wp:align>
            </wp:positionH>
            <wp:positionV relativeFrom="paragraph">
              <wp:posOffset>-913765</wp:posOffset>
            </wp:positionV>
            <wp:extent cx="7754620" cy="11266170"/>
            <wp:effectExtent l="0" t="0" r="17780" b="1143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4620" cy="11265976"/>
                    </a:xfrm>
                    <a:prstGeom prst="rect">
                      <a:avLst/>
                    </a:prstGeom>
                  </pic:spPr>
                </pic:pic>
              </a:graphicData>
            </a:graphic>
          </wp:anchor>
        </w:drawing>
      </w:r>
    </w:p>
    <w:p>
      <w:pPr>
        <w:ind w:firstLine="1446"/>
        <w:rPr>
          <w:b/>
          <w:sz w:val="72"/>
          <w:szCs w:val="72"/>
          <w:lang w:val="zh-CN"/>
        </w:rPr>
      </w:pPr>
    </w:p>
    <w:p>
      <w:pPr>
        <w:spacing w:line="720" w:lineRule="auto"/>
        <w:ind w:firstLine="1446"/>
        <w:rPr>
          <w:b/>
          <w:sz w:val="72"/>
          <w:szCs w:val="72"/>
          <w:lang w:val="zh-CN"/>
        </w:rPr>
      </w:pPr>
      <w:r>
        <w:rPr>
          <w:rFonts w:hint="eastAsia"/>
          <w:b/>
          <w:sz w:val="72"/>
          <w:szCs w:val="72"/>
          <w:lang w:val="zh-CN"/>
        </w:rPr>
        <w:t>重庆交通</w:t>
      </w:r>
      <w:r>
        <w:rPr>
          <w:b/>
          <w:sz w:val="72"/>
          <w:szCs w:val="72"/>
          <w:lang w:val="zh-CN"/>
        </w:rPr>
        <w:t>职业学院</w:t>
      </w:r>
    </w:p>
    <w:p>
      <w:pPr>
        <w:spacing w:line="720" w:lineRule="auto"/>
        <w:ind w:firstLine="964"/>
        <w:rPr>
          <w:b/>
          <w:sz w:val="48"/>
          <w:szCs w:val="48"/>
          <w:lang w:val="zh-CN"/>
        </w:rPr>
      </w:pPr>
      <w:r>
        <w:rPr>
          <w:rFonts w:hint="eastAsia"/>
          <w:b/>
          <w:sz w:val="48"/>
          <w:szCs w:val="48"/>
          <w:lang w:val="zh-CN"/>
        </w:rPr>
        <w:t>201</w:t>
      </w:r>
      <w:r>
        <w:rPr>
          <w:rFonts w:hint="eastAsia"/>
          <w:b/>
          <w:sz w:val="48"/>
          <w:szCs w:val="48"/>
          <w:lang w:val="en-US" w:eastAsia="zh-CN"/>
        </w:rPr>
        <w:t>6</w:t>
      </w:r>
      <w:r>
        <w:rPr>
          <w:rFonts w:hint="eastAsia"/>
          <w:b/>
          <w:sz w:val="48"/>
          <w:szCs w:val="48"/>
          <w:lang w:val="zh-CN"/>
        </w:rPr>
        <w:t>届</w:t>
      </w:r>
      <w:r>
        <w:rPr>
          <w:b/>
          <w:sz w:val="48"/>
          <w:szCs w:val="48"/>
          <w:lang w:val="zh-CN"/>
        </w:rPr>
        <w:t>毕业生就业质量年度报告</w:t>
      </w:r>
    </w:p>
    <w:p>
      <w:pPr>
        <w:ind w:firstLine="964"/>
        <w:rPr>
          <w:b/>
          <w:sz w:val="48"/>
          <w:szCs w:val="48"/>
          <w:lang w:val="zh-CN"/>
        </w:rPr>
      </w:pPr>
    </w:p>
    <w:p>
      <w:pPr>
        <w:ind w:firstLine="964"/>
        <w:rPr>
          <w:b/>
          <w:sz w:val="48"/>
          <w:szCs w:val="48"/>
          <w:lang w:val="zh-CN"/>
        </w:rPr>
      </w:pPr>
    </w:p>
    <w:p>
      <w:pPr>
        <w:ind w:firstLine="964"/>
        <w:rPr>
          <w:b/>
          <w:sz w:val="48"/>
          <w:szCs w:val="48"/>
          <w:lang w:val="zh-CN"/>
        </w:rPr>
      </w:pPr>
    </w:p>
    <w:p>
      <w:pPr>
        <w:ind w:firstLine="964"/>
        <w:rPr>
          <w:b/>
          <w:sz w:val="48"/>
          <w:szCs w:val="48"/>
          <w:lang w:val="zh-CN"/>
        </w:rPr>
      </w:pPr>
    </w:p>
    <w:p>
      <w:pPr>
        <w:ind w:firstLine="964"/>
        <w:rPr>
          <w:b/>
          <w:sz w:val="48"/>
          <w:szCs w:val="48"/>
          <w:lang w:val="zh-CN"/>
        </w:rPr>
      </w:pPr>
    </w:p>
    <w:p>
      <w:pPr>
        <w:ind w:firstLine="964"/>
        <w:rPr>
          <w:b/>
          <w:sz w:val="48"/>
          <w:szCs w:val="48"/>
          <w:lang w:val="zh-CN"/>
        </w:rPr>
      </w:pPr>
    </w:p>
    <w:p>
      <w:pPr>
        <w:ind w:firstLine="964"/>
        <w:rPr>
          <w:b/>
          <w:sz w:val="48"/>
          <w:szCs w:val="48"/>
          <w:lang w:val="zh-CN"/>
        </w:rPr>
      </w:pPr>
    </w:p>
    <w:p>
      <w:pPr>
        <w:ind w:firstLine="964"/>
        <w:rPr>
          <w:b/>
          <w:sz w:val="48"/>
          <w:szCs w:val="48"/>
          <w:lang w:val="zh-CN"/>
        </w:rPr>
      </w:pPr>
    </w:p>
    <w:p>
      <w:pPr>
        <w:ind w:firstLine="964"/>
        <w:rPr>
          <w:b/>
          <w:sz w:val="48"/>
          <w:szCs w:val="48"/>
          <w:lang w:val="zh-CN"/>
        </w:rPr>
      </w:pPr>
    </w:p>
    <w:p>
      <w:pPr>
        <w:ind w:firstLine="964"/>
        <w:rPr>
          <w:b/>
          <w:sz w:val="48"/>
          <w:szCs w:val="48"/>
          <w:lang w:val="zh-CN"/>
        </w:rPr>
      </w:pPr>
    </w:p>
    <w:p>
      <w:pPr>
        <w:ind w:firstLine="0" w:firstLineChars="0"/>
        <w:rPr>
          <w:b/>
          <w:sz w:val="48"/>
          <w:szCs w:val="48"/>
          <w:lang w:val="zh-CN"/>
        </w:rPr>
      </w:pPr>
    </w:p>
    <w:p>
      <w:pPr>
        <w:ind w:firstLine="0" w:firstLineChars="0"/>
        <w:rPr>
          <w:b/>
          <w:szCs w:val="24"/>
          <w:lang w:val="zh-CN"/>
        </w:rPr>
      </w:pPr>
    </w:p>
    <w:p>
      <w:pPr>
        <w:ind w:firstLine="0" w:firstLineChars="0"/>
        <w:rPr>
          <w:b/>
          <w:szCs w:val="24"/>
          <w:lang w:val="zh-CN"/>
        </w:rPr>
      </w:pPr>
    </w:p>
    <w:p>
      <w:pPr>
        <w:ind w:firstLine="0" w:firstLineChars="0"/>
        <w:rPr>
          <w:b/>
          <w:szCs w:val="24"/>
          <w:lang w:val="zh-CN"/>
        </w:rPr>
      </w:pPr>
    </w:p>
    <w:p>
      <w:pPr>
        <w:ind w:firstLine="0" w:firstLineChars="0"/>
        <w:rPr>
          <w:b/>
          <w:szCs w:val="24"/>
          <w:lang w:val="zh-CN"/>
        </w:rPr>
      </w:pPr>
    </w:p>
    <w:p>
      <w:pPr>
        <w:ind w:firstLine="0" w:firstLineChars="0"/>
        <w:rPr>
          <w:b/>
          <w:szCs w:val="24"/>
          <w:lang w:val="zh-CN"/>
        </w:rPr>
      </w:pPr>
    </w:p>
    <w:p>
      <w:pPr>
        <w:ind w:firstLine="482"/>
        <w:jc w:val="center"/>
        <w:rPr>
          <w:b/>
          <w:szCs w:val="24"/>
        </w:rPr>
      </w:pPr>
      <w:r>
        <w:rPr>
          <w:rFonts w:hint="eastAsia"/>
          <w:b/>
          <w:szCs w:val="24"/>
          <w:lang w:val="zh-CN"/>
        </w:rPr>
        <w:t>重庆交通</w:t>
      </w:r>
      <w:r>
        <w:rPr>
          <w:b/>
          <w:szCs w:val="24"/>
          <w:lang w:val="zh-CN"/>
        </w:rPr>
        <w:t>职业</w:t>
      </w:r>
      <w:r>
        <w:rPr>
          <w:rFonts w:hint="eastAsia"/>
          <w:b/>
          <w:szCs w:val="24"/>
          <w:lang w:val="zh-CN"/>
        </w:rPr>
        <w:t>学院就业处   编</w:t>
      </w:r>
    </w:p>
    <w:sdt>
      <w:sdtPr>
        <w:rPr>
          <w:lang w:val="zh-CN"/>
        </w:rPr>
        <w:id w:val="-489861603"/>
      </w:sdtPr>
      <w:sdtEndPr>
        <w:rPr>
          <w:b/>
          <w:bCs/>
          <w:lang w:val="zh-CN"/>
        </w:rPr>
      </w:sdtEndPr>
      <w:sdtContent>
        <w:p>
          <w:pPr>
            <w:ind w:firstLine="480"/>
            <w:jc w:val="center"/>
            <w:rPr>
              <w:lang w:val="zh-CN"/>
            </w:rPr>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pgNumType w:fmt="upperRoman" w:start="1"/>
              <w:cols w:space="425" w:num="1"/>
              <w:docGrid w:type="lines" w:linePitch="312" w:charSpace="0"/>
            </w:sectPr>
          </w:pPr>
        </w:p>
        <w:p>
          <w:pPr>
            <w:pStyle w:val="16"/>
            <w:spacing w:before="156" w:after="156"/>
            <w:rPr>
              <w:lang w:val="zh-CN"/>
            </w:rPr>
            <w:sectPr>
              <w:type w:val="continuous"/>
              <w:pgSz w:w="11906" w:h="16838"/>
              <w:pgMar w:top="1440" w:right="1800" w:bottom="1440" w:left="1800" w:header="851" w:footer="992" w:gutter="0"/>
              <w:cols w:space="425" w:num="1"/>
              <w:docGrid w:type="lines" w:linePitch="312" w:charSpace="0"/>
            </w:sectPr>
          </w:pPr>
          <w:bookmarkStart w:id="0" w:name="_Toc436154643"/>
          <w:bookmarkStart w:id="1" w:name="_Toc436154766"/>
        </w:p>
        <w:p>
          <w:pPr>
            <w:pStyle w:val="17"/>
            <w:spacing w:before="468" w:after="624" w:afterLines="200" w:line="360" w:lineRule="auto"/>
          </w:pPr>
          <w:bookmarkStart w:id="2" w:name="_Toc439953095"/>
          <w:bookmarkStart w:id="3" w:name="_Toc436154881"/>
          <w:r>
            <w:rPr>
              <w:rFonts w:ascii="黑体" w:hAnsi="黑体"/>
              <w:b w:val="0"/>
              <w:szCs w:val="36"/>
              <w:lang w:val="zh-CN"/>
            </w:rPr>
            <w:t>目录</w:t>
          </w:r>
          <w:bookmarkEnd w:id="0"/>
          <w:bookmarkEnd w:id="2"/>
          <w:r>
            <w:fldChar w:fldCharType="begin"/>
          </w:r>
          <w:r>
            <w:instrText xml:space="preserve"> TOC \o "1-3" \h \z \u </w:instrText>
          </w:r>
          <w:r>
            <w:fldChar w:fldCharType="separate"/>
          </w:r>
        </w:p>
        <w:p>
          <w:pPr>
            <w:pStyle w:val="9"/>
            <w:rPr>
              <w:b w:val="0"/>
              <w:kern w:val="2"/>
              <w:sz w:val="21"/>
              <w:szCs w:val="22"/>
            </w:rPr>
          </w:pPr>
          <w:r>
            <w:fldChar w:fldCharType="begin"/>
          </w:r>
          <w:r>
            <w:instrText xml:space="preserve"> HYPERLINK \l "_Toc439953095" </w:instrText>
          </w:r>
          <w:r>
            <w:fldChar w:fldCharType="separate"/>
          </w:r>
          <w:r>
            <w:rPr>
              <w:rStyle w:val="13"/>
              <w:rFonts w:hint="eastAsia" w:ascii="黑体" w:hAnsi="黑体"/>
              <w:lang w:val="zh-CN"/>
            </w:rPr>
            <w:t>目录</w:t>
          </w:r>
          <w:r>
            <w:tab/>
          </w:r>
          <w:r>
            <w:fldChar w:fldCharType="begin"/>
          </w:r>
          <w:r>
            <w:instrText xml:space="preserve"> PAGEREF _Toc439953095 \h </w:instrText>
          </w:r>
          <w:r>
            <w:fldChar w:fldCharType="separate"/>
          </w:r>
          <w:r>
            <w:t>I</w:t>
          </w:r>
          <w:r>
            <w:fldChar w:fldCharType="end"/>
          </w:r>
          <w:r>
            <w:fldChar w:fldCharType="end"/>
          </w:r>
        </w:p>
        <w:p>
          <w:pPr>
            <w:pStyle w:val="9"/>
            <w:rPr>
              <w:b w:val="0"/>
              <w:kern w:val="2"/>
              <w:sz w:val="21"/>
              <w:szCs w:val="22"/>
            </w:rPr>
          </w:pPr>
          <w:r>
            <w:fldChar w:fldCharType="begin"/>
          </w:r>
          <w:r>
            <w:instrText xml:space="preserve"> HYPERLINK \l "_Toc439953096" </w:instrText>
          </w:r>
          <w:r>
            <w:fldChar w:fldCharType="separate"/>
          </w:r>
          <w:r>
            <w:rPr>
              <w:rStyle w:val="13"/>
              <w:rFonts w:hint="eastAsia"/>
            </w:rPr>
            <w:t>学校概况</w:t>
          </w:r>
          <w:r>
            <w:tab/>
          </w:r>
          <w:r>
            <w:fldChar w:fldCharType="begin"/>
          </w:r>
          <w:r>
            <w:instrText xml:space="preserve"> PAGEREF _Toc439953096 \h </w:instrText>
          </w:r>
          <w:r>
            <w:fldChar w:fldCharType="separate"/>
          </w:r>
          <w:r>
            <w:t>1</w:t>
          </w:r>
          <w:r>
            <w:fldChar w:fldCharType="end"/>
          </w:r>
          <w:r>
            <w:fldChar w:fldCharType="end"/>
          </w:r>
        </w:p>
        <w:p>
          <w:pPr>
            <w:pStyle w:val="9"/>
            <w:rPr>
              <w:b w:val="0"/>
              <w:kern w:val="2"/>
              <w:sz w:val="21"/>
              <w:szCs w:val="22"/>
            </w:rPr>
          </w:pPr>
          <w:r>
            <w:fldChar w:fldCharType="begin"/>
          </w:r>
          <w:r>
            <w:instrText xml:space="preserve"> HYPERLINK \l "_Toc439953097" </w:instrText>
          </w:r>
          <w:r>
            <w:fldChar w:fldCharType="separate"/>
          </w:r>
          <w:r>
            <w:rPr>
              <w:rStyle w:val="13"/>
              <w:rFonts w:hint="eastAsia"/>
            </w:rPr>
            <w:t>报告说明</w:t>
          </w:r>
          <w:r>
            <w:tab/>
          </w:r>
          <w:r>
            <w:fldChar w:fldCharType="begin"/>
          </w:r>
          <w:r>
            <w:instrText xml:space="preserve"> PAGEREF _Toc439953097 \h </w:instrText>
          </w:r>
          <w:r>
            <w:fldChar w:fldCharType="separate"/>
          </w:r>
          <w:r>
            <w:t>2</w:t>
          </w:r>
          <w:r>
            <w:fldChar w:fldCharType="end"/>
          </w:r>
          <w:r>
            <w:fldChar w:fldCharType="end"/>
          </w:r>
        </w:p>
        <w:p>
          <w:pPr>
            <w:pStyle w:val="9"/>
            <w:rPr>
              <w:b w:val="0"/>
              <w:kern w:val="2"/>
              <w:sz w:val="21"/>
              <w:szCs w:val="22"/>
            </w:rPr>
          </w:pPr>
          <w:r>
            <w:fldChar w:fldCharType="begin"/>
          </w:r>
          <w:r>
            <w:instrText xml:space="preserve"> HYPERLINK \l "_Toc439953098" </w:instrText>
          </w:r>
          <w:r>
            <w:fldChar w:fldCharType="separate"/>
          </w:r>
          <w:r>
            <w:rPr>
              <w:rStyle w:val="13"/>
              <w:rFonts w:hint="eastAsia"/>
            </w:rPr>
            <w:t>第一篇：毕业生就业基本情况</w:t>
          </w:r>
          <w:r>
            <w:tab/>
          </w:r>
          <w:r>
            <w:fldChar w:fldCharType="begin"/>
          </w:r>
          <w:r>
            <w:instrText xml:space="preserve"> PAGEREF _Toc439953098 \h </w:instrText>
          </w:r>
          <w:r>
            <w:fldChar w:fldCharType="separate"/>
          </w:r>
          <w:r>
            <w:t>3</w:t>
          </w:r>
          <w:r>
            <w:fldChar w:fldCharType="end"/>
          </w:r>
          <w:r>
            <w:fldChar w:fldCharType="end"/>
          </w:r>
        </w:p>
        <w:p>
          <w:pPr>
            <w:pStyle w:val="11"/>
            <w:tabs>
              <w:tab w:val="right" w:leader="dot" w:pos="8302"/>
            </w:tabs>
            <w:ind w:left="480"/>
            <w:rPr>
              <w:kern w:val="2"/>
              <w:sz w:val="21"/>
              <w:szCs w:val="22"/>
            </w:rPr>
          </w:pPr>
          <w:r>
            <w:fldChar w:fldCharType="begin"/>
          </w:r>
          <w:r>
            <w:instrText xml:space="preserve"> HYPERLINK \l "_Toc439953099" </w:instrText>
          </w:r>
          <w:r>
            <w:fldChar w:fldCharType="separate"/>
          </w:r>
          <w:r>
            <w:rPr>
              <w:rStyle w:val="13"/>
              <w:rFonts w:hint="eastAsia"/>
            </w:rPr>
            <w:t>一、毕业生的规模和结构</w:t>
          </w:r>
          <w:r>
            <w:tab/>
          </w:r>
          <w:r>
            <w:fldChar w:fldCharType="begin"/>
          </w:r>
          <w:r>
            <w:instrText xml:space="preserve"> PAGEREF _Toc439953099 \h </w:instrText>
          </w:r>
          <w:r>
            <w:fldChar w:fldCharType="separate"/>
          </w:r>
          <w:r>
            <w:t>3</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"_Toc439953100" </w:instrText>
          </w:r>
          <w:r>
            <w:fldChar w:fldCharType="separate"/>
          </w:r>
          <w:r>
            <w:rPr>
              <w:rStyle w:val="13"/>
              <w:rFonts w:hint="eastAsia"/>
            </w:rPr>
            <w:t>（一）总体规模</w:t>
          </w:r>
          <w:r>
            <w:tab/>
          </w:r>
          <w:r>
            <w:fldChar w:fldCharType="begin"/>
          </w:r>
          <w:r>
            <w:instrText xml:space="preserve"> PAGEREF _Toc439953100 \h </w:instrText>
          </w:r>
          <w:r>
            <w:fldChar w:fldCharType="separate"/>
          </w:r>
          <w:r>
            <w:t>3</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"_Toc439953101" </w:instrText>
          </w:r>
          <w:r>
            <w:fldChar w:fldCharType="separate"/>
          </w:r>
          <w:r>
            <w:rPr>
              <w:rStyle w:val="13"/>
              <w:rFonts w:hint="eastAsia"/>
            </w:rPr>
            <w:t>（二）院系及专业结构</w:t>
          </w:r>
          <w:r>
            <w:tab/>
          </w:r>
          <w:r>
            <w:fldChar w:fldCharType="begin"/>
          </w:r>
          <w:r>
            <w:instrText xml:space="preserve"> PAGEREF _Toc439953101 \h </w:instrText>
          </w:r>
          <w:r>
            <w:fldChar w:fldCharType="separate"/>
          </w:r>
          <w:r>
            <w:t>3</w:t>
          </w:r>
          <w:r>
            <w:fldChar w:fldCharType="end"/>
          </w:r>
          <w:r>
            <w:fldChar w:fldCharType="end"/>
          </w:r>
        </w:p>
        <w:p>
          <w:pPr>
            <w:pStyle w:val="11"/>
            <w:tabs>
              <w:tab w:val="right" w:leader="dot" w:pos="8302"/>
            </w:tabs>
            <w:ind w:left="480"/>
            <w:rPr>
              <w:kern w:val="2"/>
              <w:sz w:val="21"/>
              <w:szCs w:val="22"/>
            </w:rPr>
          </w:pPr>
          <w:r>
            <w:fldChar w:fldCharType="begin"/>
          </w:r>
          <w:r>
            <w:instrText xml:space="preserve"> HYPERLINK \l "_Toc439953102" </w:instrText>
          </w:r>
          <w:r>
            <w:fldChar w:fldCharType="separate"/>
          </w:r>
          <w:r>
            <w:rPr>
              <w:rStyle w:val="13"/>
              <w:rFonts w:hint="eastAsia"/>
            </w:rPr>
            <w:t>二、就业率及毕业去向</w:t>
          </w:r>
          <w:r>
            <w:tab/>
          </w:r>
          <w:r>
            <w:fldChar w:fldCharType="begin"/>
          </w:r>
          <w:r>
            <w:instrText xml:space="preserve"> PAGEREF _Toc439953102 \h </w:instrText>
          </w:r>
          <w:r>
            <w:fldChar w:fldCharType="separate"/>
          </w:r>
          <w:r>
            <w:t>4</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"_Toc439953103" </w:instrText>
          </w:r>
          <w:r>
            <w:fldChar w:fldCharType="separate"/>
          </w:r>
          <w:r>
            <w:rPr>
              <w:rStyle w:val="13"/>
              <w:rFonts w:hint="eastAsia"/>
            </w:rPr>
            <w:t>（一）总体就业率及毕业去向</w:t>
          </w:r>
          <w:r>
            <w:tab/>
          </w:r>
          <w:r>
            <w:fldChar w:fldCharType="begin"/>
          </w:r>
          <w:r>
            <w:instrText xml:space="preserve"> PAGEREF _Toc439953103 \h </w:instrText>
          </w:r>
          <w:r>
            <w:fldChar w:fldCharType="separate"/>
          </w:r>
          <w:r>
            <w:t>4</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"_Toc439953104" </w:instrText>
          </w:r>
          <w:r>
            <w:fldChar w:fldCharType="separate"/>
          </w:r>
          <w:r>
            <w:rPr>
              <w:rStyle w:val="13"/>
              <w:rFonts w:hint="eastAsia"/>
            </w:rPr>
            <w:t>（二）各院系</w:t>
          </w:r>
          <w:r>
            <w:rPr>
              <w:rStyle w:val="13"/>
            </w:rPr>
            <w:t>/</w:t>
          </w:r>
          <w:r>
            <w:rPr>
              <w:rStyle w:val="13"/>
              <w:rFonts w:hint="eastAsia"/>
            </w:rPr>
            <w:t>专业的就业率</w:t>
          </w:r>
          <w:r>
            <w:tab/>
          </w:r>
          <w:r>
            <w:fldChar w:fldCharType="begin"/>
          </w:r>
          <w:r>
            <w:instrText xml:space="preserve"> PAGEREF _Toc439953104 \h </w:instrText>
          </w:r>
          <w:r>
            <w:fldChar w:fldCharType="separate"/>
          </w:r>
          <w:r>
            <w:t>5</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"_Toc439953105" </w:instrText>
          </w:r>
          <w:r>
            <w:fldChar w:fldCharType="separate"/>
          </w:r>
          <w:r>
            <w:rPr>
              <w:rStyle w:val="13"/>
              <w:rFonts w:hint="eastAsia"/>
            </w:rPr>
            <w:t>（三）各院系</w:t>
          </w:r>
          <w:r>
            <w:rPr>
              <w:rStyle w:val="13"/>
            </w:rPr>
            <w:t>/</w:t>
          </w:r>
          <w:r>
            <w:rPr>
              <w:rStyle w:val="13"/>
              <w:rFonts w:hint="eastAsia"/>
            </w:rPr>
            <w:t>专业的毕业去向</w:t>
          </w:r>
          <w:r>
            <w:tab/>
          </w:r>
          <w:r>
            <w:fldChar w:fldCharType="begin"/>
          </w:r>
          <w:r>
            <w:instrText xml:space="preserve"> PAGEREF _Toc439953105 \h </w:instrText>
          </w:r>
          <w:r>
            <w:fldChar w:fldCharType="separate"/>
          </w:r>
          <w:r>
            <w:t>6</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"_Toc439953106" </w:instrText>
          </w:r>
          <w:r>
            <w:fldChar w:fldCharType="separate"/>
          </w:r>
          <w:r>
            <w:rPr>
              <w:rStyle w:val="13"/>
              <w:rFonts w:hint="eastAsia"/>
            </w:rPr>
            <w:t>（四）未就业情况分析</w:t>
          </w:r>
          <w:r>
            <w:tab/>
          </w:r>
          <w:r>
            <w:fldChar w:fldCharType="begin"/>
          </w:r>
          <w:r>
            <w:instrText xml:space="preserve"> PAGEREF _Toc439953106 \h </w:instrText>
          </w:r>
          <w:r>
            <w:fldChar w:fldCharType="separate"/>
          </w:r>
          <w:r>
            <w:t>7</w:t>
          </w:r>
          <w:r>
            <w:fldChar w:fldCharType="end"/>
          </w:r>
          <w:r>
            <w:fldChar w:fldCharType="end"/>
          </w:r>
        </w:p>
        <w:p>
          <w:pPr>
            <w:pStyle w:val="11"/>
            <w:tabs>
              <w:tab w:val="right" w:leader="dot" w:pos="8302"/>
            </w:tabs>
            <w:ind w:left="480"/>
            <w:rPr>
              <w:kern w:val="2"/>
              <w:sz w:val="21"/>
              <w:szCs w:val="22"/>
            </w:rPr>
          </w:pPr>
          <w:r>
            <w:fldChar w:fldCharType="begin"/>
          </w:r>
          <w:r>
            <w:instrText xml:space="preserve"> HYPERLINK \l "_Toc439953107" </w:instrText>
          </w:r>
          <w:r>
            <w:fldChar w:fldCharType="separate"/>
          </w:r>
          <w:r>
            <w:rPr>
              <w:rStyle w:val="13"/>
              <w:rFonts w:hint="eastAsia"/>
            </w:rPr>
            <w:t>三、就业流向</w:t>
          </w:r>
          <w:r>
            <w:tab/>
          </w:r>
          <w:r>
            <w:fldChar w:fldCharType="begin"/>
          </w:r>
          <w:r>
            <w:instrText xml:space="preserve"> PAGEREF _Toc439953107 \h </w:instrText>
          </w:r>
          <w:r>
            <w:fldChar w:fldCharType="separate"/>
          </w:r>
          <w:r>
            <w:t>8</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"_Toc439953108" </w:instrText>
          </w:r>
          <w:r>
            <w:fldChar w:fldCharType="separate"/>
          </w:r>
          <w:r>
            <w:rPr>
              <w:rStyle w:val="13"/>
              <w:rFonts w:hint="eastAsia"/>
            </w:rPr>
            <w:t>（一）单位就业</w:t>
          </w:r>
          <w:r>
            <w:tab/>
          </w:r>
          <w:r>
            <w:fldChar w:fldCharType="begin"/>
          </w:r>
          <w:r>
            <w:instrText xml:space="preserve"> PAGEREF _Toc439953108 \h </w:instrText>
          </w:r>
          <w:r>
            <w:fldChar w:fldCharType="separate"/>
          </w:r>
          <w:r>
            <w:t>8</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"_Toc439953109" </w:instrText>
          </w:r>
          <w:r>
            <w:fldChar w:fldCharType="separate"/>
          </w:r>
          <w:r>
            <w:rPr>
              <w:rStyle w:val="13"/>
              <w:rFonts w:hint="eastAsia"/>
            </w:rPr>
            <w:t>（二）升学</w:t>
          </w:r>
          <w:r>
            <w:tab/>
          </w:r>
          <w:r>
            <w:fldChar w:fldCharType="begin"/>
          </w:r>
          <w:r>
            <w:instrText xml:space="preserve"> PAGEREF _Toc439953109 \h </w:instrText>
          </w:r>
          <w:r>
            <w:fldChar w:fldCharType="separate"/>
          </w:r>
          <w:r>
            <w:t>13</w:t>
          </w:r>
          <w:r>
            <w:fldChar w:fldCharType="end"/>
          </w:r>
          <w:r>
            <w:fldChar w:fldCharType="end"/>
          </w:r>
        </w:p>
        <w:p>
          <w:pPr>
            <w:pStyle w:val="9"/>
            <w:rPr>
              <w:b w:val="0"/>
              <w:kern w:val="2"/>
              <w:sz w:val="21"/>
              <w:szCs w:val="22"/>
            </w:rPr>
          </w:pPr>
          <w:r>
            <w:fldChar w:fldCharType="begin"/>
          </w:r>
          <w:r>
            <w:instrText xml:space="preserve"> HYPERLINK \l "_Toc439953110" </w:instrText>
          </w:r>
          <w:r>
            <w:fldChar w:fldCharType="separate"/>
          </w:r>
          <w:r>
            <w:rPr>
              <w:rStyle w:val="13"/>
              <w:rFonts w:hint="eastAsia"/>
            </w:rPr>
            <w:t>第二篇：就业工作特色</w:t>
          </w:r>
          <w:r>
            <w:tab/>
          </w:r>
          <w:r>
            <w:fldChar w:fldCharType="begin"/>
          </w:r>
          <w:r>
            <w:instrText xml:space="preserve"> PAGEREF _Toc439953110 \h </w:instrText>
          </w:r>
          <w:r>
            <w:fldChar w:fldCharType="separate"/>
          </w:r>
          <w:r>
            <w:t>15</w:t>
          </w:r>
          <w:r>
            <w:fldChar w:fldCharType="end"/>
          </w:r>
          <w:r>
            <w:fldChar w:fldCharType="end"/>
          </w:r>
        </w:p>
        <w:p>
          <w:pPr>
            <w:pStyle w:val="11"/>
            <w:tabs>
              <w:tab w:val="left" w:pos="1260"/>
              <w:tab w:val="right" w:leader="dot" w:pos="8302"/>
            </w:tabs>
            <w:ind w:left="480"/>
            <w:rPr>
              <w:kern w:val="2"/>
              <w:sz w:val="21"/>
              <w:szCs w:val="22"/>
            </w:rPr>
          </w:pPr>
          <w:r>
            <w:fldChar w:fldCharType="begin"/>
          </w:r>
          <w:r>
            <w:instrText xml:space="preserve"> HYPERLINK \l "_Toc439953111" </w:instrText>
          </w:r>
          <w:r>
            <w:fldChar w:fldCharType="separate"/>
          </w:r>
          <w:r>
            <w:rPr>
              <w:rStyle w:val="13"/>
              <w:rFonts w:hint="eastAsia" w:cs="Times New Roman"/>
            </w:rPr>
            <w:t>一、</w:t>
          </w:r>
          <w:r>
            <w:rPr>
              <w:kern w:val="2"/>
              <w:sz w:val="21"/>
              <w:szCs w:val="22"/>
            </w:rPr>
            <w:tab/>
          </w:r>
          <w:r>
            <w:rPr>
              <w:rStyle w:val="13"/>
              <w:rFonts w:hint="eastAsia"/>
            </w:rPr>
            <w:t>毕业生就业工作举措</w:t>
          </w:r>
          <w:r>
            <w:tab/>
          </w:r>
          <w:r>
            <w:fldChar w:fldCharType="begin"/>
          </w:r>
          <w:r>
            <w:instrText xml:space="preserve"> PAGEREF _Toc439953111 \h </w:instrText>
          </w:r>
          <w:r>
            <w:fldChar w:fldCharType="separate"/>
          </w:r>
          <w:r>
            <w:t>15</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"_Toc439953112" </w:instrText>
          </w:r>
          <w:r>
            <w:fldChar w:fldCharType="separate"/>
          </w:r>
          <w:r>
            <w:rPr>
              <w:rStyle w:val="13"/>
              <w:rFonts w:hint="eastAsia"/>
            </w:rPr>
            <w:t>（一）建立健全就业工作机制</w:t>
          </w:r>
          <w:r>
            <w:tab/>
          </w:r>
          <w:r>
            <w:fldChar w:fldCharType="begin"/>
          </w:r>
          <w:r>
            <w:instrText xml:space="preserve"> PAGEREF _Toc439953112 \h </w:instrText>
          </w:r>
          <w:r>
            <w:fldChar w:fldCharType="separate"/>
          </w:r>
          <w:r>
            <w:t>15</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"_Toc439953113" </w:instrText>
          </w:r>
          <w:r>
            <w:fldChar w:fldCharType="separate"/>
          </w:r>
          <w:r>
            <w:rPr>
              <w:rStyle w:val="13"/>
              <w:rFonts w:hint="eastAsia"/>
            </w:rPr>
            <w:t>（二）加强校企合作，拓宽就业渠道</w:t>
          </w:r>
          <w:r>
            <w:tab/>
          </w:r>
          <w:r>
            <w:fldChar w:fldCharType="begin"/>
          </w:r>
          <w:r>
            <w:instrText xml:space="preserve"> PAGEREF _Toc439953113 \h </w:instrText>
          </w:r>
          <w:r>
            <w:fldChar w:fldCharType="separate"/>
          </w:r>
          <w:r>
            <w:t>15</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"_Toc439953114" </w:instrText>
          </w:r>
          <w:r>
            <w:fldChar w:fldCharType="separate"/>
          </w:r>
          <w:r>
            <w:rPr>
              <w:rStyle w:val="13"/>
              <w:rFonts w:hint="eastAsia"/>
            </w:rPr>
            <w:t>（三）推进创新创业教育和自主创业</w:t>
          </w:r>
          <w:r>
            <w:tab/>
          </w:r>
          <w:r>
            <w:fldChar w:fldCharType="begin"/>
          </w:r>
          <w:r>
            <w:instrText xml:space="preserve"> PAGEREF _Toc439953114 \h </w:instrText>
          </w:r>
          <w:r>
            <w:fldChar w:fldCharType="separate"/>
          </w:r>
          <w:r>
            <w:t>16</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"_Toc439953115" </w:instrText>
          </w:r>
          <w:r>
            <w:fldChar w:fldCharType="separate"/>
          </w:r>
          <w:r>
            <w:rPr>
              <w:rStyle w:val="13"/>
              <w:rFonts w:hint="eastAsia"/>
            </w:rPr>
            <w:t>（四）职业指导与规划</w:t>
          </w:r>
          <w:r>
            <w:tab/>
          </w:r>
          <w:r>
            <w:fldChar w:fldCharType="begin"/>
          </w:r>
          <w:r>
            <w:instrText xml:space="preserve"> PAGEREF _Toc439953115 \h </w:instrText>
          </w:r>
          <w:r>
            <w:fldChar w:fldCharType="separate"/>
          </w:r>
          <w:r>
            <w:t>17</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"_Toc439953116" </w:instrText>
          </w:r>
          <w:r>
            <w:fldChar w:fldCharType="separate"/>
          </w:r>
          <w:r>
            <w:rPr>
              <w:rStyle w:val="13"/>
              <w:rFonts w:hint="eastAsia"/>
            </w:rPr>
            <w:t>（五）就业实践活动</w:t>
          </w:r>
          <w:r>
            <w:tab/>
          </w:r>
          <w:r>
            <w:fldChar w:fldCharType="begin"/>
          </w:r>
          <w:r>
            <w:instrText xml:space="preserve"> PAGEREF _Toc439953116 \h </w:instrText>
          </w:r>
          <w:r>
            <w:fldChar w:fldCharType="separate"/>
          </w:r>
          <w:r>
            <w:t>17</w:t>
          </w:r>
          <w:r>
            <w:fldChar w:fldCharType="end"/>
          </w:r>
          <w:r>
            <w:fldChar w:fldCharType="end"/>
          </w:r>
        </w:p>
        <w:p>
          <w:pPr>
            <w:pStyle w:val="11"/>
            <w:tabs>
              <w:tab w:val="right" w:leader="dot" w:pos="8302"/>
            </w:tabs>
            <w:ind w:left="480"/>
            <w:rPr>
              <w:kern w:val="2"/>
              <w:sz w:val="21"/>
              <w:szCs w:val="22"/>
            </w:rPr>
          </w:pPr>
          <w:r>
            <w:fldChar w:fldCharType="begin"/>
          </w:r>
          <w:r>
            <w:instrText xml:space="preserve"> HYPERLINK \l "_Toc439953117" </w:instrText>
          </w:r>
          <w:r>
            <w:fldChar w:fldCharType="separate"/>
          </w:r>
          <w:r>
            <w:rPr>
              <w:rStyle w:val="13"/>
              <w:rFonts w:hint="eastAsia"/>
            </w:rPr>
            <w:t>二、毕业生对就业指导服务的评价</w:t>
          </w:r>
          <w:r>
            <w:tab/>
          </w:r>
          <w:r>
            <w:fldChar w:fldCharType="begin"/>
          </w:r>
          <w:r>
            <w:instrText xml:space="preserve"> PAGEREF _Toc439953117 \h </w:instrText>
          </w:r>
          <w:r>
            <w:fldChar w:fldCharType="separate"/>
          </w:r>
          <w:r>
            <w:t>18</w:t>
          </w:r>
          <w:r>
            <w:fldChar w:fldCharType="end"/>
          </w:r>
          <w:r>
            <w:fldChar w:fldCharType="end"/>
          </w:r>
        </w:p>
        <w:p>
          <w:pPr>
            <w:pStyle w:val="11"/>
            <w:tabs>
              <w:tab w:val="right" w:leader="dot" w:pos="8302"/>
            </w:tabs>
            <w:ind w:left="480"/>
            <w:rPr>
              <w:kern w:val="2"/>
              <w:sz w:val="21"/>
              <w:szCs w:val="22"/>
            </w:rPr>
          </w:pPr>
          <w:r>
            <w:fldChar w:fldCharType="begin"/>
          </w:r>
          <w:r>
            <w:instrText xml:space="preserve"> HYPERLINK \l "_Toc439953118" </w:instrText>
          </w:r>
          <w:r>
            <w:fldChar w:fldCharType="separate"/>
          </w:r>
          <w:r>
            <w:rPr>
              <w:rStyle w:val="13"/>
              <w:rFonts w:hint="eastAsia"/>
            </w:rPr>
            <w:t>三、毕业生对创业教育</w:t>
          </w:r>
          <w:r>
            <w:rPr>
              <w:rStyle w:val="13"/>
            </w:rPr>
            <w:t>/</w:t>
          </w:r>
          <w:r>
            <w:rPr>
              <w:rStyle w:val="13"/>
              <w:rFonts w:hint="eastAsia"/>
            </w:rPr>
            <w:t>指导服务的评价</w:t>
          </w:r>
          <w:r>
            <w:tab/>
          </w:r>
          <w:r>
            <w:fldChar w:fldCharType="begin"/>
          </w:r>
          <w:r>
            <w:instrText xml:space="preserve"> PAGEREF _Toc439953118 \h </w:instrText>
          </w:r>
          <w:r>
            <w:fldChar w:fldCharType="separate"/>
          </w:r>
          <w:r>
            <w:t>19</w:t>
          </w:r>
          <w:r>
            <w:fldChar w:fldCharType="end"/>
          </w:r>
          <w:r>
            <w:fldChar w:fldCharType="end"/>
          </w:r>
        </w:p>
        <w:p>
          <w:pPr>
            <w:pStyle w:val="9"/>
            <w:rPr>
              <w:b w:val="0"/>
              <w:kern w:val="2"/>
              <w:sz w:val="21"/>
              <w:szCs w:val="22"/>
            </w:rPr>
          </w:pPr>
          <w:r>
            <w:fldChar w:fldCharType="begin"/>
          </w:r>
          <w:r>
            <w:instrText xml:space="preserve"> HYPERLINK \l "_Toc439953119" </w:instrText>
          </w:r>
          <w:r>
            <w:fldChar w:fldCharType="separate"/>
          </w:r>
          <w:r>
            <w:rPr>
              <w:rStyle w:val="13"/>
              <w:rFonts w:hint="eastAsia"/>
            </w:rPr>
            <w:t>第三篇：就业相关分析</w:t>
          </w:r>
          <w:r>
            <w:tab/>
          </w:r>
          <w:r>
            <w:fldChar w:fldCharType="begin"/>
          </w:r>
          <w:r>
            <w:instrText xml:space="preserve"> PAGEREF _Toc439953119 \h </w:instrText>
          </w:r>
          <w:r>
            <w:fldChar w:fldCharType="separate"/>
          </w:r>
          <w:r>
            <w:t>21</w:t>
          </w:r>
          <w:r>
            <w:fldChar w:fldCharType="end"/>
          </w:r>
          <w:r>
            <w:fldChar w:fldCharType="end"/>
          </w:r>
        </w:p>
        <w:p>
          <w:pPr>
            <w:pStyle w:val="11"/>
            <w:tabs>
              <w:tab w:val="right" w:leader="dot" w:pos="8302"/>
            </w:tabs>
            <w:ind w:left="480"/>
            <w:rPr>
              <w:kern w:val="2"/>
              <w:sz w:val="21"/>
              <w:szCs w:val="22"/>
            </w:rPr>
          </w:pPr>
          <w:r>
            <w:fldChar w:fldCharType="begin"/>
          </w:r>
          <w:r>
            <w:instrText xml:space="preserve"> HYPERLINK \l "_Toc439953120" </w:instrText>
          </w:r>
          <w:r>
            <w:fldChar w:fldCharType="separate"/>
          </w:r>
          <w:r>
            <w:rPr>
              <w:rStyle w:val="13"/>
              <w:rFonts w:hint="eastAsia"/>
            </w:rPr>
            <w:t>一、薪酬水平</w:t>
          </w:r>
          <w:r>
            <w:tab/>
          </w:r>
          <w:r>
            <w:fldChar w:fldCharType="begin"/>
          </w:r>
          <w:r>
            <w:instrText xml:space="preserve"> PAGEREF _Toc439953120 \h </w:instrText>
          </w:r>
          <w:r>
            <w:fldChar w:fldCharType="separate"/>
          </w:r>
          <w:r>
            <w:t>21</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"_Toc439953121" </w:instrText>
          </w:r>
          <w:r>
            <w:fldChar w:fldCharType="separate"/>
          </w:r>
          <w:r>
            <w:rPr>
              <w:rStyle w:val="13"/>
              <w:rFonts w:hint="eastAsia"/>
            </w:rPr>
            <w:t>（一）薪酬区间分布</w:t>
          </w:r>
          <w:r>
            <w:tab/>
          </w:r>
          <w:r>
            <w:fldChar w:fldCharType="begin"/>
          </w:r>
          <w:r>
            <w:instrText xml:space="preserve"> PAGEREF _Toc439953121 \h </w:instrText>
          </w:r>
          <w:r>
            <w:fldChar w:fldCharType="separate"/>
          </w:r>
          <w:r>
            <w:t>21</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"_Toc439953122" </w:instrText>
          </w:r>
          <w:r>
            <w:fldChar w:fldCharType="separate"/>
          </w:r>
          <w:r>
            <w:rPr>
              <w:rStyle w:val="13"/>
              <w:rFonts w:hint="eastAsia"/>
            </w:rPr>
            <w:t>（二）主要行业月薪</w:t>
          </w:r>
          <w:r>
            <w:tab/>
          </w:r>
          <w:r>
            <w:fldChar w:fldCharType="begin"/>
          </w:r>
          <w:r>
            <w:instrText xml:space="preserve"> PAGEREF _Toc439953122 \h </w:instrText>
          </w:r>
          <w:r>
            <w:fldChar w:fldCharType="separate"/>
          </w:r>
          <w:r>
            <w:t>21</w:t>
          </w:r>
          <w:r>
            <w:fldChar w:fldCharType="end"/>
          </w:r>
          <w:r>
            <w:fldChar w:fldCharType="end"/>
          </w:r>
        </w:p>
        <w:p>
          <w:pPr>
            <w:pStyle w:val="11"/>
            <w:tabs>
              <w:tab w:val="right" w:leader="dot" w:pos="8302"/>
            </w:tabs>
            <w:ind w:left="480"/>
            <w:rPr>
              <w:kern w:val="2"/>
              <w:sz w:val="21"/>
              <w:szCs w:val="22"/>
            </w:rPr>
          </w:pPr>
          <w:r>
            <w:fldChar w:fldCharType="begin"/>
          </w:r>
          <w:r>
            <w:instrText xml:space="preserve"> HYPERLINK \l "_Toc439953123" </w:instrText>
          </w:r>
          <w:r>
            <w:fldChar w:fldCharType="separate"/>
          </w:r>
          <w:r>
            <w:rPr>
              <w:rStyle w:val="13"/>
              <w:rFonts w:hint="eastAsia"/>
            </w:rPr>
            <w:t>二、专业对口度</w:t>
          </w:r>
          <w:r>
            <w:tab/>
          </w:r>
          <w:r>
            <w:fldChar w:fldCharType="begin"/>
          </w:r>
          <w:r>
            <w:instrText xml:space="preserve"> PAGEREF _Toc439953123 \h </w:instrText>
          </w:r>
          <w:r>
            <w:fldChar w:fldCharType="separate"/>
          </w:r>
          <w:r>
            <w:t>22</w:t>
          </w:r>
          <w:r>
            <w:fldChar w:fldCharType="end"/>
          </w:r>
          <w:r>
            <w:fldChar w:fldCharType="end"/>
          </w:r>
        </w:p>
        <w:p>
          <w:pPr>
            <w:pStyle w:val="11"/>
            <w:tabs>
              <w:tab w:val="right" w:leader="dot" w:pos="8302"/>
            </w:tabs>
            <w:ind w:left="480"/>
            <w:rPr>
              <w:kern w:val="2"/>
              <w:sz w:val="21"/>
              <w:szCs w:val="22"/>
            </w:rPr>
          </w:pPr>
          <w:r>
            <w:fldChar w:fldCharType="begin"/>
          </w:r>
          <w:r>
            <w:instrText xml:space="preserve"> HYPERLINK \l "_Toc439953124" </w:instrText>
          </w:r>
          <w:r>
            <w:fldChar w:fldCharType="separate"/>
          </w:r>
          <w:r>
            <w:rPr>
              <w:rStyle w:val="13"/>
              <w:rFonts w:hint="eastAsia"/>
            </w:rPr>
            <w:t>三、就业满意度</w:t>
          </w:r>
          <w:r>
            <w:tab/>
          </w:r>
          <w:r>
            <w:fldChar w:fldCharType="begin"/>
          </w:r>
          <w:r>
            <w:instrText xml:space="preserve"> PAGEREF _Toc439953124 \h </w:instrText>
          </w:r>
          <w:r>
            <w:fldChar w:fldCharType="separate"/>
          </w:r>
          <w:r>
            <w:t>23</w:t>
          </w:r>
          <w:r>
            <w:fldChar w:fldCharType="end"/>
          </w:r>
          <w:r>
            <w:fldChar w:fldCharType="end"/>
          </w:r>
        </w:p>
        <w:p>
          <w:pPr>
            <w:pStyle w:val="11"/>
            <w:tabs>
              <w:tab w:val="right" w:leader="dot" w:pos="8302"/>
            </w:tabs>
            <w:ind w:left="480"/>
            <w:rPr>
              <w:kern w:val="2"/>
              <w:sz w:val="21"/>
              <w:szCs w:val="22"/>
            </w:rPr>
          </w:pPr>
          <w:r>
            <w:fldChar w:fldCharType="begin"/>
          </w:r>
          <w:r>
            <w:instrText xml:space="preserve"> HYPERLINK \l "_Toc439953125" </w:instrText>
          </w:r>
          <w:r>
            <w:fldChar w:fldCharType="separate"/>
          </w:r>
          <w:r>
            <w:rPr>
              <w:rStyle w:val="13"/>
              <w:rFonts w:hint="eastAsia"/>
            </w:rPr>
            <w:t>四、求职分析</w:t>
          </w:r>
          <w:r>
            <w:tab/>
          </w:r>
          <w:r>
            <w:fldChar w:fldCharType="begin"/>
          </w:r>
          <w:r>
            <w:instrText xml:space="preserve"> PAGEREF _Toc439953125 \h </w:instrText>
          </w:r>
          <w:r>
            <w:fldChar w:fldCharType="separate"/>
          </w:r>
          <w:r>
            <w:t>25</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"_Toc439953126" </w:instrText>
          </w:r>
          <w:r>
            <w:fldChar w:fldCharType="separate"/>
          </w:r>
          <w:r>
            <w:rPr>
              <w:rStyle w:val="13"/>
              <w:rFonts w:hint="eastAsia"/>
            </w:rPr>
            <w:t>（一）求职途径</w:t>
          </w:r>
          <w:r>
            <w:tab/>
          </w:r>
          <w:r>
            <w:fldChar w:fldCharType="begin"/>
          </w:r>
          <w:r>
            <w:instrText xml:space="preserve"> PAGEREF _Toc439953126 \h </w:instrText>
          </w:r>
          <w:r>
            <w:fldChar w:fldCharType="separate"/>
          </w:r>
          <w:r>
            <w:t>25</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"_Toc439953127" </w:instrText>
          </w:r>
          <w:r>
            <w:fldChar w:fldCharType="separate"/>
          </w:r>
          <w:r>
            <w:rPr>
              <w:rStyle w:val="13"/>
              <w:rFonts w:hint="eastAsia"/>
            </w:rPr>
            <w:t>（二）求职困难</w:t>
          </w:r>
          <w:r>
            <w:tab/>
          </w:r>
          <w:r>
            <w:fldChar w:fldCharType="begin"/>
          </w:r>
          <w:r>
            <w:instrText xml:space="preserve"> PAGEREF _Toc439953127 \h </w:instrText>
          </w:r>
          <w:r>
            <w:fldChar w:fldCharType="separate"/>
          </w:r>
          <w:r>
            <w:t>26</w:t>
          </w:r>
          <w:r>
            <w:fldChar w:fldCharType="end"/>
          </w:r>
          <w:r>
            <w:fldChar w:fldCharType="end"/>
          </w:r>
        </w:p>
        <w:p>
          <w:pPr>
            <w:pStyle w:val="9"/>
            <w:rPr>
              <w:b w:val="0"/>
              <w:kern w:val="2"/>
              <w:sz w:val="21"/>
              <w:szCs w:val="22"/>
            </w:rPr>
          </w:pPr>
          <w:r>
            <w:fldChar w:fldCharType="begin"/>
          </w:r>
          <w:r>
            <w:instrText xml:space="preserve"> HYPERLINK \l "_Toc439953128" </w:instrText>
          </w:r>
          <w:r>
            <w:fldChar w:fldCharType="separate"/>
          </w:r>
          <w:r>
            <w:rPr>
              <w:rStyle w:val="13"/>
              <w:rFonts w:hint="eastAsia"/>
            </w:rPr>
            <w:t>第四篇：就业发展趋势分析</w:t>
          </w:r>
          <w:r>
            <w:tab/>
          </w:r>
          <w:r>
            <w:fldChar w:fldCharType="begin"/>
          </w:r>
          <w:r>
            <w:instrText xml:space="preserve"> PAGEREF _Toc439953128 \h </w:instrText>
          </w:r>
          <w:r>
            <w:fldChar w:fldCharType="separate"/>
          </w:r>
          <w:r>
            <w:t>27</w:t>
          </w:r>
          <w:r>
            <w:fldChar w:fldCharType="end"/>
          </w:r>
          <w:r>
            <w:fldChar w:fldCharType="end"/>
          </w:r>
        </w:p>
        <w:p>
          <w:pPr>
            <w:pStyle w:val="11"/>
            <w:tabs>
              <w:tab w:val="right" w:leader="dot" w:pos="8302"/>
            </w:tabs>
            <w:ind w:left="480"/>
            <w:rPr>
              <w:kern w:val="2"/>
              <w:sz w:val="21"/>
              <w:szCs w:val="22"/>
            </w:rPr>
          </w:pPr>
          <w:r>
            <w:fldChar w:fldCharType="begin"/>
          </w:r>
          <w:r>
            <w:instrText xml:space="preserve"> HYPERLINK \l "_Toc439953129" </w:instrText>
          </w:r>
          <w:r>
            <w:fldChar w:fldCharType="separate"/>
          </w:r>
          <w:r>
            <w:rPr>
              <w:rStyle w:val="13"/>
              <w:rFonts w:hint="eastAsia"/>
            </w:rPr>
            <w:t>一、毕业生规模不断扩大，就业率始终保持较高水平</w:t>
          </w:r>
          <w:r>
            <w:tab/>
          </w:r>
          <w:r>
            <w:fldChar w:fldCharType="begin"/>
          </w:r>
          <w:r>
            <w:instrText xml:space="preserve"> PAGEREF _Toc439953129 \h </w:instrText>
          </w:r>
          <w:r>
            <w:fldChar w:fldCharType="separate"/>
          </w:r>
          <w:r>
            <w:t>27</w:t>
          </w:r>
          <w:r>
            <w:fldChar w:fldCharType="end"/>
          </w:r>
          <w:r>
            <w:fldChar w:fldCharType="end"/>
          </w:r>
        </w:p>
        <w:p>
          <w:pPr>
            <w:pStyle w:val="11"/>
            <w:tabs>
              <w:tab w:val="right" w:leader="dot" w:pos="8302"/>
            </w:tabs>
            <w:ind w:left="480"/>
            <w:rPr>
              <w:kern w:val="2"/>
              <w:sz w:val="21"/>
              <w:szCs w:val="22"/>
            </w:rPr>
          </w:pPr>
          <w:r>
            <w:fldChar w:fldCharType="begin"/>
          </w:r>
          <w:r>
            <w:instrText xml:space="preserve"> HYPERLINK \l "_Toc439953130" </w:instrText>
          </w:r>
          <w:r>
            <w:fldChar w:fldCharType="separate"/>
          </w:r>
          <w:r>
            <w:rPr>
              <w:rStyle w:val="13"/>
              <w:rFonts w:hint="eastAsia"/>
            </w:rPr>
            <w:t>二、本市就业为主，服务地方经济发展</w:t>
          </w:r>
          <w:r>
            <w:tab/>
          </w:r>
          <w:r>
            <w:fldChar w:fldCharType="begin"/>
          </w:r>
          <w:r>
            <w:instrText xml:space="preserve"> PAGEREF _Toc439953130 \h </w:instrText>
          </w:r>
          <w:r>
            <w:fldChar w:fldCharType="separate"/>
          </w:r>
          <w:r>
            <w:t>28</w:t>
          </w:r>
          <w:r>
            <w:fldChar w:fldCharType="end"/>
          </w:r>
          <w:r>
            <w:fldChar w:fldCharType="end"/>
          </w:r>
        </w:p>
        <w:p>
          <w:pPr>
            <w:pStyle w:val="11"/>
            <w:tabs>
              <w:tab w:val="right" w:leader="dot" w:pos="8302"/>
            </w:tabs>
            <w:ind w:left="480"/>
            <w:rPr>
              <w:kern w:val="2"/>
              <w:sz w:val="21"/>
              <w:szCs w:val="22"/>
            </w:rPr>
          </w:pPr>
          <w:r>
            <w:fldChar w:fldCharType="begin"/>
          </w:r>
          <w:r>
            <w:instrText xml:space="preserve"> HYPERLINK \l "_Toc439953131" </w:instrText>
          </w:r>
          <w:r>
            <w:fldChar w:fldCharType="separate"/>
          </w:r>
          <w:r>
            <w:rPr>
              <w:rStyle w:val="13"/>
              <w:rFonts w:hint="eastAsia"/>
            </w:rPr>
            <w:t>三、行业分布日趋广泛，重点行业保持较高流向</w:t>
          </w:r>
          <w:r>
            <w:tab/>
          </w:r>
          <w:r>
            <w:fldChar w:fldCharType="begin"/>
          </w:r>
          <w:r>
            <w:instrText xml:space="preserve"> PAGEREF _Toc439953131 \h </w:instrText>
          </w:r>
          <w:r>
            <w:fldChar w:fldCharType="separate"/>
          </w:r>
          <w:r>
            <w:t>29</w:t>
          </w:r>
          <w:r>
            <w:fldChar w:fldCharType="end"/>
          </w:r>
          <w:r>
            <w:fldChar w:fldCharType="end"/>
          </w:r>
        </w:p>
        <w:p>
          <w:pPr>
            <w:pStyle w:val="9"/>
            <w:rPr>
              <w:b w:val="0"/>
              <w:kern w:val="2"/>
              <w:sz w:val="21"/>
              <w:szCs w:val="22"/>
            </w:rPr>
          </w:pPr>
          <w:r>
            <w:fldChar w:fldCharType="begin"/>
          </w:r>
          <w:r>
            <w:instrText xml:space="preserve"> HYPERLINK \l "_Toc439953132" </w:instrText>
          </w:r>
          <w:r>
            <w:fldChar w:fldCharType="separate"/>
          </w:r>
          <w:r>
            <w:rPr>
              <w:rStyle w:val="13"/>
              <w:rFonts w:hint="eastAsia"/>
            </w:rPr>
            <w:t>第五篇：对教育教学的反馈</w:t>
          </w:r>
          <w:r>
            <w:tab/>
          </w:r>
          <w:r>
            <w:fldChar w:fldCharType="begin"/>
          </w:r>
          <w:r>
            <w:instrText xml:space="preserve"> PAGEREF _Toc439953132 \h </w:instrText>
          </w:r>
          <w:r>
            <w:fldChar w:fldCharType="separate"/>
          </w:r>
          <w:r>
            <w:t>30</w:t>
          </w:r>
          <w:r>
            <w:fldChar w:fldCharType="end"/>
          </w:r>
          <w:r>
            <w:fldChar w:fldCharType="end"/>
          </w:r>
        </w:p>
        <w:p>
          <w:pPr>
            <w:pStyle w:val="11"/>
            <w:tabs>
              <w:tab w:val="right" w:leader="dot" w:pos="8302"/>
            </w:tabs>
            <w:ind w:left="480"/>
            <w:rPr>
              <w:kern w:val="2"/>
              <w:sz w:val="21"/>
              <w:szCs w:val="22"/>
            </w:rPr>
          </w:pPr>
          <w:r>
            <w:fldChar w:fldCharType="begin"/>
          </w:r>
          <w:r>
            <w:instrText xml:space="preserve"> HYPERLINK \l "_Toc439953133" </w:instrText>
          </w:r>
          <w:r>
            <w:fldChar w:fldCharType="separate"/>
          </w:r>
          <w:r>
            <w:rPr>
              <w:rStyle w:val="13"/>
              <w:rFonts w:hint="eastAsia"/>
            </w:rPr>
            <w:t>一、对母校的满意度和推荐度</w:t>
          </w:r>
          <w:r>
            <w:tab/>
          </w:r>
          <w:r>
            <w:fldChar w:fldCharType="begin"/>
          </w:r>
          <w:r>
            <w:instrText xml:space="preserve"> PAGEREF _Toc439953133 \h </w:instrText>
          </w:r>
          <w:r>
            <w:fldChar w:fldCharType="separate"/>
          </w:r>
          <w:r>
            <w:t>30</w:t>
          </w:r>
          <w:r>
            <w:fldChar w:fldCharType="end"/>
          </w:r>
          <w:r>
            <w:fldChar w:fldCharType="end"/>
          </w:r>
        </w:p>
        <w:p>
          <w:pPr>
            <w:pStyle w:val="11"/>
            <w:tabs>
              <w:tab w:val="right" w:leader="dot" w:pos="8302"/>
            </w:tabs>
            <w:ind w:left="480"/>
            <w:rPr>
              <w:kern w:val="2"/>
              <w:sz w:val="21"/>
              <w:szCs w:val="22"/>
            </w:rPr>
          </w:pPr>
          <w:r>
            <w:fldChar w:fldCharType="begin"/>
          </w:r>
          <w:r>
            <w:instrText xml:space="preserve"> HYPERLINK \l "_Toc439953134" </w:instrText>
          </w:r>
          <w:r>
            <w:fldChar w:fldCharType="separate"/>
          </w:r>
          <w:r>
            <w:rPr>
              <w:rStyle w:val="13"/>
              <w:rFonts w:hint="eastAsia"/>
            </w:rPr>
            <w:t>二、对母校教育教学的评价</w:t>
          </w:r>
          <w:r>
            <w:tab/>
          </w:r>
          <w:r>
            <w:fldChar w:fldCharType="begin"/>
          </w:r>
          <w:r>
            <w:instrText xml:space="preserve"> PAGEREF _Toc439953134 \h </w:instrText>
          </w:r>
          <w:r>
            <w:fldChar w:fldCharType="separate"/>
          </w:r>
          <w:r>
            <w:t>31</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"_Toc439953135" </w:instrText>
          </w:r>
          <w:r>
            <w:fldChar w:fldCharType="separate"/>
          </w:r>
          <w:r>
            <w:rPr>
              <w:rStyle w:val="13"/>
              <w:rFonts w:hint="eastAsia"/>
            </w:rPr>
            <w:t>（一）专业课评价</w:t>
          </w:r>
          <w:r>
            <w:tab/>
          </w:r>
          <w:r>
            <w:fldChar w:fldCharType="begin"/>
          </w:r>
          <w:r>
            <w:instrText xml:space="preserve"> PAGEREF _Toc439953135 \h </w:instrText>
          </w:r>
          <w:r>
            <w:fldChar w:fldCharType="separate"/>
          </w:r>
          <w:r>
            <w:t>31</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"_Toc439953136" </w:instrText>
          </w:r>
          <w:r>
            <w:fldChar w:fldCharType="separate"/>
          </w:r>
          <w:r>
            <w:rPr>
              <w:rStyle w:val="13"/>
              <w:rFonts w:hint="eastAsia"/>
            </w:rPr>
            <w:t>（二）实践教学环节评价</w:t>
          </w:r>
          <w:r>
            <w:tab/>
          </w:r>
          <w:r>
            <w:fldChar w:fldCharType="begin"/>
          </w:r>
          <w:r>
            <w:instrText xml:space="preserve"> PAGEREF _Toc439953136 \h </w:instrText>
          </w:r>
          <w:r>
            <w:fldChar w:fldCharType="separate"/>
          </w:r>
          <w:r>
            <w:t>31</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"_Toc439953137" </w:instrText>
          </w:r>
          <w:r>
            <w:fldChar w:fldCharType="separate"/>
          </w:r>
          <w:r>
            <w:rPr>
              <w:rStyle w:val="13"/>
              <w:rFonts w:hint="eastAsia"/>
            </w:rPr>
            <w:t>（三）任课教师评价</w:t>
          </w:r>
          <w:r>
            <w:tab/>
          </w:r>
          <w:r>
            <w:fldChar w:fldCharType="begin"/>
          </w:r>
          <w:r>
            <w:instrText xml:space="preserve"> PAGEREF _Toc439953137 \h </w:instrText>
          </w:r>
          <w:r>
            <w:fldChar w:fldCharType="separate"/>
          </w:r>
          <w:r>
            <w:t>32</w:t>
          </w:r>
          <w:r>
            <w:fldChar w:fldCharType="end"/>
          </w:r>
          <w:r>
            <w:fldChar w:fldCharType="end"/>
          </w:r>
        </w:p>
        <w:p>
          <w:pPr>
            <w:pStyle w:val="11"/>
            <w:tabs>
              <w:tab w:val="right" w:leader="dot" w:pos="8302"/>
            </w:tabs>
            <w:ind w:left="480"/>
            <w:rPr>
              <w:kern w:val="2"/>
              <w:sz w:val="21"/>
              <w:szCs w:val="22"/>
            </w:rPr>
          </w:pPr>
          <w:r>
            <w:fldChar w:fldCharType="begin"/>
          </w:r>
          <w:r>
            <w:instrText xml:space="preserve"> HYPERLINK \l "_Toc439953138" </w:instrText>
          </w:r>
          <w:r>
            <w:fldChar w:fldCharType="separate"/>
          </w:r>
          <w:r>
            <w:rPr>
              <w:rStyle w:val="13"/>
              <w:rFonts w:hint="eastAsia" w:ascii="Times New Roman" w:hAnsi="Times New Roman"/>
            </w:rPr>
            <w:t>三、毕业生就业能力的反馈</w:t>
          </w:r>
          <w:r>
            <w:tab/>
          </w:r>
          <w:r>
            <w:fldChar w:fldCharType="begin"/>
          </w:r>
          <w:r>
            <w:instrText xml:space="preserve"> PAGEREF _Toc439953138 \h </w:instrText>
          </w:r>
          <w:r>
            <w:fldChar w:fldCharType="separate"/>
          </w:r>
          <w:r>
            <w:t>33</w:t>
          </w:r>
          <w:r>
            <w:fldChar w:fldCharType="end"/>
          </w:r>
          <w:r>
            <w:fldChar w:fldCharType="end"/>
          </w:r>
        </w:p>
        <w:p>
          <w:pPr>
            <w:pStyle w:val="11"/>
            <w:tabs>
              <w:tab w:val="right" w:leader="dot" w:pos="8302"/>
            </w:tabs>
            <w:ind w:left="480"/>
            <w:rPr>
              <w:kern w:val="2"/>
              <w:sz w:val="21"/>
              <w:szCs w:val="22"/>
            </w:rPr>
          </w:pPr>
          <w:r>
            <w:fldChar w:fldCharType="begin"/>
          </w:r>
          <w:r>
            <w:instrText xml:space="preserve"> HYPERLINK \l "_Toc439953139" </w:instrText>
          </w:r>
          <w:r>
            <w:fldChar w:fldCharType="separate"/>
          </w:r>
          <w:r>
            <w:rPr>
              <w:rStyle w:val="13"/>
              <w:rFonts w:hint="eastAsia"/>
            </w:rPr>
            <w:t>四、对教育教学的反馈建议</w:t>
          </w:r>
          <w:r>
            <w:tab/>
          </w:r>
          <w:r>
            <w:fldChar w:fldCharType="begin"/>
          </w:r>
          <w:r>
            <w:instrText xml:space="preserve"> PAGEREF _Toc439953139 \h </w:instrText>
          </w:r>
          <w:r>
            <w:fldChar w:fldCharType="separate"/>
          </w:r>
          <w:r>
            <w:t>34</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"_Toc439953140" </w:instrText>
          </w:r>
          <w:r>
            <w:fldChar w:fldCharType="separate"/>
          </w:r>
          <w:r>
            <w:rPr>
              <w:rStyle w:val="13"/>
              <w:rFonts w:hint="eastAsia"/>
            </w:rPr>
            <w:t>（一）构建招生就业联动机制，发展优势学科</w:t>
          </w:r>
          <w:r>
            <w:tab/>
          </w:r>
          <w:r>
            <w:fldChar w:fldCharType="begin"/>
          </w:r>
          <w:r>
            <w:instrText xml:space="preserve"> PAGEREF _Toc439953140 \h </w:instrText>
          </w:r>
          <w:r>
            <w:fldChar w:fldCharType="separate"/>
          </w:r>
          <w:r>
            <w:t>34</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"_Toc439953141" </w:instrText>
          </w:r>
          <w:r>
            <w:fldChar w:fldCharType="separate"/>
          </w:r>
          <w:r>
            <w:rPr>
              <w:rStyle w:val="13"/>
              <w:rFonts w:hint="eastAsia"/>
            </w:rPr>
            <w:t>（二）推进教学模式改革，培养创新型人才</w:t>
          </w:r>
          <w:r>
            <w:tab/>
          </w:r>
          <w:r>
            <w:fldChar w:fldCharType="begin"/>
          </w:r>
          <w:r>
            <w:instrText xml:space="preserve"> PAGEREF _Toc439953141 \h </w:instrText>
          </w:r>
          <w:r>
            <w:fldChar w:fldCharType="separate"/>
          </w:r>
          <w:r>
            <w:t>34</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"_Toc439953142" </w:instrText>
          </w:r>
          <w:r>
            <w:fldChar w:fldCharType="separate"/>
          </w:r>
          <w:r>
            <w:rPr>
              <w:rStyle w:val="13"/>
              <w:rFonts w:hint="eastAsia"/>
            </w:rPr>
            <w:t>（三）加强实践教学环节，提升毕业生的综合素质</w:t>
          </w:r>
          <w:r>
            <w:tab/>
          </w:r>
          <w:r>
            <w:fldChar w:fldCharType="begin"/>
          </w:r>
          <w:r>
            <w:instrText xml:space="preserve"> PAGEREF _Toc439953142 \h </w:instrText>
          </w:r>
          <w:r>
            <w:fldChar w:fldCharType="separate"/>
          </w:r>
          <w:r>
            <w:t>34</w:t>
          </w:r>
          <w:r>
            <w:fldChar w:fldCharType="end"/>
          </w:r>
          <w:r>
            <w:fldChar w:fldCharType="end"/>
          </w:r>
        </w:p>
        <w:p>
          <w:pPr>
            <w:pStyle w:val="6"/>
            <w:tabs>
              <w:tab w:val="right" w:leader="dot" w:pos="8302"/>
            </w:tabs>
            <w:ind w:left="960"/>
            <w:rPr>
              <w:kern w:val="2"/>
              <w:sz w:val="21"/>
              <w:szCs w:val="22"/>
            </w:rPr>
          </w:pPr>
          <w:r>
            <w:fldChar w:fldCharType="begin"/>
          </w:r>
          <w:r>
            <w:instrText xml:space="preserve"> HYPERLINK \l "_Toc439953143" </w:instrText>
          </w:r>
          <w:r>
            <w:fldChar w:fldCharType="separate"/>
          </w:r>
          <w:r>
            <w:rPr>
              <w:rStyle w:val="13"/>
              <w:rFonts w:hint="eastAsia"/>
            </w:rPr>
            <w:t>（四）加强校企协同育人机制的探索</w:t>
          </w:r>
          <w:r>
            <w:tab/>
          </w:r>
          <w:r>
            <w:fldChar w:fldCharType="begin"/>
          </w:r>
          <w:r>
            <w:instrText xml:space="preserve"> PAGEREF _Toc439953143 \h </w:instrText>
          </w:r>
          <w:r>
            <w:fldChar w:fldCharType="separate"/>
          </w:r>
          <w:r>
            <w:t>35</w:t>
          </w:r>
          <w:r>
            <w:fldChar w:fldCharType="end"/>
          </w:r>
          <w:r>
            <w:fldChar w:fldCharType="end"/>
          </w:r>
        </w:p>
        <w:p>
          <w:pPr>
            <w:ind w:firstLine="480"/>
            <w:sectPr>
              <w:pgSz w:w="11906" w:h="16838"/>
              <w:pgMar w:top="1440" w:right="1797" w:bottom="1440" w:left="1797" w:header="851" w:footer="992" w:gutter="0"/>
              <w:pgNumType w:fmt="upperRoman" w:start="1"/>
              <w:cols w:space="425" w:num="1"/>
              <w:docGrid w:type="lines" w:linePitch="312" w:charSpace="0"/>
            </w:sectPr>
          </w:pPr>
          <w:r>
            <w:fldChar w:fldCharType="end"/>
          </w:r>
        </w:p>
      </w:sdtContent>
    </w:sdt>
    <w:bookmarkEnd w:id="1"/>
    <w:bookmarkEnd w:id="3"/>
    <w:p>
      <w:pPr>
        <w:pStyle w:val="17"/>
        <w:spacing w:after="468"/>
      </w:pPr>
      <w:bookmarkStart w:id="4" w:name="_Toc439953096"/>
      <w:r>
        <w:rPr>
          <w:rFonts w:hint="eastAsia"/>
        </w:rPr>
        <w:t>学校概况</w:t>
      </w:r>
      <w:bookmarkEnd w:id="4"/>
    </w:p>
    <w:p>
      <w:pPr>
        <w:ind w:firstLine="480"/>
        <w:rPr>
          <w:rStyle w:val="13"/>
          <w:rFonts w:ascii="宋体" w:hAnsi="宋体" w:eastAsia="宋体"/>
          <w:color w:val="auto"/>
          <w:szCs w:val="24"/>
          <w:u w:val="none"/>
        </w:rPr>
      </w:pPr>
      <w:r>
        <w:rPr>
          <w:rStyle w:val="13"/>
          <w:rFonts w:hint="eastAsia" w:ascii="宋体" w:hAnsi="宋体" w:eastAsia="宋体"/>
          <w:color w:val="auto"/>
          <w:szCs w:val="24"/>
          <w:u w:val="none"/>
        </w:rPr>
        <w:t>重庆交通职业学院是经重庆市人民政府批准设立，教育部备案的全日制普通高等院校。学院是重庆交通大学的合作办学单位，已与重庆交通大学形成“师资互派、干部互挂、资源共享、管理互动”的实质性合作办学关系。依托重庆交通大学国家和省部级特色专业、实验教学示范中心及校外实习实训基地，开设了道路桥梁、交通运输、交通工程、土木工程、机械工程、建筑、车辆工程、铁道工程、航空、河海十大类特色专业。按照“立足交通、面向市场、服务社会” 的办学理念，加强实验实训基地建设，强化实践教学环节，为祖国的交通建设培养高素质、高技能的专门人才。</w:t>
      </w:r>
    </w:p>
    <w:p>
      <w:pPr>
        <w:pStyle w:val="16"/>
        <w:spacing w:before="156" w:after="156"/>
        <w:rPr>
          <w:rStyle w:val="13"/>
          <w:rFonts w:ascii="宋体" w:hAnsi="宋体" w:eastAsia="宋体"/>
          <w:color w:val="auto"/>
          <w:szCs w:val="24"/>
          <w:u w:val="none"/>
        </w:rPr>
      </w:pPr>
      <w:r>
        <w:rPr>
          <w:rStyle w:val="13"/>
          <w:rFonts w:hint="eastAsia" w:ascii="宋体" w:hAnsi="宋体" w:eastAsia="宋体"/>
          <w:color w:val="auto"/>
          <w:szCs w:val="24"/>
          <w:u w:val="none"/>
        </w:rPr>
        <w:t>学院坚持走“质量立校、人才强校、特色兴校、创新活校”内涵式发展道路，以创建全国交通类一流的高职院校和“校风优、教风优、学风优”的三优高校为目的。学院现有专兼职教师747名，其中教授48人，副教授176人，“双师型”教师216人，工程师45人，行业专家151人。教师队伍中有4位享受国务院政府特殊津贴的教授，教学与管理中坚力量来自重庆交通大学，实训教师来自于大型企业的高级工程师、工程师与高级技师。学院推行的“百名专家进课堂、百名教师进企业”的“双百”工程密切了产教融通、校企合作。引进德国“师徒制”职业教育模式；全面实施24人小班23468分组教学模式。学院广泛开设提高学生综合素质的课程，并开展专业技能竞赛，育人质量得到保障。</w:t>
      </w:r>
    </w:p>
    <w:p>
      <w:pPr>
        <w:ind w:firstLine="480"/>
        <w:rPr>
          <w:rStyle w:val="13"/>
          <w:rFonts w:ascii="宋体" w:hAnsi="宋体" w:eastAsia="宋体"/>
          <w:color w:val="FF0000"/>
          <w:szCs w:val="24"/>
          <w:u w:val="none"/>
        </w:rPr>
      </w:pPr>
      <w:r>
        <w:rPr>
          <w:rStyle w:val="13"/>
          <w:rFonts w:hint="eastAsia" w:ascii="宋体" w:hAnsi="宋体" w:eastAsia="宋体"/>
          <w:color w:val="auto"/>
          <w:szCs w:val="24"/>
          <w:u w:val="none"/>
        </w:rPr>
        <w:t>学校内拥有全国居首、面积1.8万平方米的道路桥梁施工模拟现场，3万平方米的筑施工模拟现场，4.5万余平方米全国校内理实教学最大的机械实训中心，1500平方米的物流实训中心，与东风汽车股份有限公司合力打造5000平方米的商用车人才培训基地，中央财政支持的国家级实验基地、重庆市财政支持的实验基地等56个实验实训中心。学院与中铁集团、中国交通建设集团、中国建筑集团、重庆交运集团、高速公路集团、东风汽车、长安汽车等200余家大型企业签订了实训就业协议，共建了多个校外实习基地，建立了长期合作关系，为学生的培养及就业奠定了坚实的基础。</w:t>
      </w:r>
    </w:p>
    <w:p>
      <w:pPr>
        <w:pStyle w:val="17"/>
        <w:spacing w:after="468"/>
        <w:sectPr>
          <w:pgSz w:w="11906" w:h="16838"/>
          <w:pgMar w:top="1440" w:right="1800" w:bottom="1440" w:left="1800" w:header="851" w:footer="992" w:gutter="0"/>
          <w:pgNumType w:start="1"/>
          <w:cols w:space="425" w:num="1"/>
          <w:docGrid w:type="lines" w:linePitch="312" w:charSpace="0"/>
        </w:sectPr>
      </w:pPr>
    </w:p>
    <w:p>
      <w:pPr>
        <w:pStyle w:val="17"/>
        <w:spacing w:after="468"/>
      </w:pPr>
      <w:bookmarkStart w:id="5" w:name="_Toc439953097"/>
      <w:r>
        <w:rPr>
          <w:rFonts w:hint="eastAsia"/>
        </w:rPr>
        <w:t>报告说明</w:t>
      </w:r>
      <w:bookmarkEnd w:id="5"/>
    </w:p>
    <w:p>
      <w:pPr>
        <w:spacing w:before="78" w:beforeLines="25" w:after="78" w:afterLines="25"/>
        <w:ind w:firstLine="480"/>
        <w:jc w:val="both"/>
        <w:rPr>
          <w:rStyle w:val="13"/>
          <w:rFonts w:ascii="宋体" w:hAnsi="宋体" w:eastAsia="宋体"/>
          <w:caps/>
          <w:color w:val="000000"/>
          <w:spacing w:val="15"/>
          <w:szCs w:val="24"/>
          <w:u w:val="none"/>
        </w:rPr>
      </w:pPr>
      <w:r>
        <w:rPr>
          <w:rStyle w:val="13"/>
          <w:rFonts w:hint="eastAsia" w:ascii="宋体" w:hAnsi="宋体" w:eastAsia="宋体"/>
          <w:color w:val="000000"/>
          <w:szCs w:val="24"/>
          <w:u w:val="none"/>
        </w:rPr>
        <w:t>为全面反映毕业生的就业状况，建立</w:t>
      </w:r>
      <w:r>
        <w:rPr>
          <w:rStyle w:val="13"/>
          <w:rFonts w:ascii="宋体" w:hAnsi="宋体" w:eastAsia="宋体"/>
          <w:color w:val="000000"/>
          <w:szCs w:val="24"/>
          <w:u w:val="none"/>
        </w:rPr>
        <w:t>起就业与人才培养良性互动的长效机制，</w:t>
      </w:r>
      <w:r>
        <w:rPr>
          <w:rStyle w:val="13"/>
          <w:rFonts w:hint="eastAsia" w:ascii="宋体" w:hAnsi="宋体" w:eastAsia="宋体"/>
          <w:color w:val="000000"/>
          <w:szCs w:val="24"/>
          <w:u w:val="none"/>
        </w:rPr>
        <w:t>学校根据《教育部办公厅关于编制发布高校毕业生就业质量年度报告的通知教学厅函</w:t>
      </w:r>
      <w:r>
        <w:rPr>
          <w:rStyle w:val="13"/>
          <w:rFonts w:ascii="宋体" w:hAnsi="宋体" w:eastAsia="宋体"/>
          <w:color w:val="000000"/>
          <w:szCs w:val="24"/>
          <w:u w:val="none"/>
        </w:rPr>
        <w:t>[2013]25</w:t>
      </w:r>
      <w:r>
        <w:rPr>
          <w:rStyle w:val="13"/>
          <w:rFonts w:hint="eastAsia" w:ascii="宋体" w:hAnsi="宋体" w:eastAsia="宋体"/>
          <w:color w:val="000000"/>
          <w:szCs w:val="24"/>
          <w:u w:val="none"/>
        </w:rPr>
        <w:t>号》文件要求，</w:t>
      </w:r>
      <w:r>
        <w:rPr>
          <w:rStyle w:val="13"/>
          <w:rFonts w:ascii="宋体" w:hAnsi="宋体" w:eastAsia="宋体"/>
          <w:color w:val="000000"/>
          <w:szCs w:val="24"/>
          <w:u w:val="none"/>
        </w:rPr>
        <w:t>编制和正式发布《</w:t>
      </w:r>
      <w:r>
        <w:rPr>
          <w:rStyle w:val="13"/>
          <w:rFonts w:hint="eastAsia" w:ascii="宋体" w:hAnsi="宋体" w:eastAsia="宋体"/>
          <w:color w:val="auto"/>
          <w:szCs w:val="24"/>
          <w:u w:val="none"/>
        </w:rPr>
        <w:t>重庆交通</w:t>
      </w:r>
      <w:r>
        <w:rPr>
          <w:rStyle w:val="13"/>
          <w:rFonts w:ascii="宋体" w:hAnsi="宋体" w:eastAsia="宋体"/>
          <w:color w:val="auto"/>
          <w:szCs w:val="24"/>
          <w:u w:val="none"/>
        </w:rPr>
        <w:t>职业学院</w:t>
      </w:r>
      <w:r>
        <w:rPr>
          <w:rStyle w:val="13"/>
          <w:rFonts w:ascii="宋体" w:hAnsi="宋体" w:eastAsia="宋体"/>
          <w:color w:val="000000"/>
          <w:szCs w:val="24"/>
          <w:u w:val="none"/>
        </w:rPr>
        <w:t>201</w:t>
      </w:r>
      <w:r>
        <w:rPr>
          <w:rStyle w:val="13"/>
          <w:rFonts w:hint="eastAsia" w:ascii="宋体" w:hAnsi="宋体" w:eastAsia="宋体"/>
          <w:color w:val="000000"/>
          <w:szCs w:val="24"/>
          <w:u w:val="none"/>
          <w:lang w:val="en-US" w:eastAsia="zh-CN"/>
        </w:rPr>
        <w:t>6</w:t>
      </w:r>
      <w:r>
        <w:rPr>
          <w:rStyle w:val="13"/>
          <w:rFonts w:ascii="宋体" w:hAnsi="宋体" w:eastAsia="宋体"/>
          <w:color w:val="000000"/>
          <w:szCs w:val="24"/>
          <w:u w:val="none"/>
        </w:rPr>
        <w:t>届毕业生就业质量</w:t>
      </w:r>
      <w:r>
        <w:rPr>
          <w:rStyle w:val="13"/>
          <w:rFonts w:hint="eastAsia" w:ascii="宋体" w:hAnsi="宋体" w:eastAsia="宋体"/>
          <w:color w:val="000000"/>
          <w:szCs w:val="24"/>
          <w:u w:val="none"/>
        </w:rPr>
        <w:t>年报</w:t>
      </w:r>
      <w:r>
        <w:rPr>
          <w:rStyle w:val="13"/>
          <w:rFonts w:ascii="宋体" w:hAnsi="宋体" w:eastAsia="宋体"/>
          <w:color w:val="000000"/>
          <w:szCs w:val="24"/>
          <w:u w:val="none"/>
        </w:rPr>
        <w:t>》。</w:t>
      </w:r>
      <w:r>
        <w:rPr>
          <w:rStyle w:val="13"/>
          <w:rFonts w:hint="eastAsia" w:ascii="宋体" w:hAnsi="宋体" w:eastAsia="宋体"/>
          <w:color w:val="000000"/>
          <w:szCs w:val="24"/>
          <w:u w:val="none"/>
        </w:rPr>
        <w:t>本报告数据</w:t>
      </w:r>
      <w:r>
        <w:rPr>
          <w:rStyle w:val="13"/>
          <w:rFonts w:ascii="宋体" w:hAnsi="宋体" w:eastAsia="宋体"/>
          <w:color w:val="000000"/>
          <w:szCs w:val="24"/>
          <w:u w:val="none"/>
        </w:rPr>
        <w:t>来源于两个方面</w:t>
      </w:r>
      <w:r>
        <w:rPr>
          <w:rStyle w:val="13"/>
          <w:rFonts w:hint="eastAsia" w:ascii="宋体" w:hAnsi="宋体" w:eastAsia="宋体"/>
          <w:color w:val="000000"/>
          <w:szCs w:val="24"/>
          <w:u w:val="none"/>
        </w:rPr>
        <w:t>:</w:t>
      </w:r>
    </w:p>
    <w:p>
      <w:pPr>
        <w:spacing w:before="78" w:beforeLines="25" w:after="78" w:afterLines="25"/>
        <w:ind w:firstLine="480"/>
        <w:jc w:val="both"/>
        <w:rPr>
          <w:rStyle w:val="13"/>
          <w:rFonts w:ascii="宋体" w:hAnsi="宋体" w:eastAsia="宋体"/>
          <w:color w:val="FF0000"/>
          <w:szCs w:val="24"/>
          <w:highlight w:val="yellow"/>
          <w:u w:val="none"/>
        </w:rPr>
      </w:pPr>
      <w:r>
        <w:rPr>
          <w:rStyle w:val="13"/>
          <w:rFonts w:hint="eastAsia" w:ascii="宋体" w:hAnsi="宋体" w:eastAsia="宋体"/>
          <w:color w:val="000000"/>
          <w:szCs w:val="24"/>
          <w:u w:val="none"/>
        </w:rPr>
        <w:t>1.</w:t>
      </w:r>
      <w:r>
        <w:rPr>
          <w:rFonts w:hint="eastAsia"/>
        </w:rPr>
        <w:t xml:space="preserve"> </w:t>
      </w:r>
      <w:r>
        <w:rPr>
          <w:rStyle w:val="13"/>
          <w:rFonts w:hint="eastAsia" w:ascii="宋体" w:hAnsi="宋体" w:eastAsia="宋体"/>
          <w:color w:val="auto"/>
          <w:szCs w:val="24"/>
          <w:u w:val="none"/>
        </w:rPr>
        <w:t>重庆市大学中专毕业生就业数据库</w:t>
      </w:r>
      <w:r>
        <w:rPr>
          <w:rStyle w:val="13"/>
          <w:rFonts w:hint="eastAsia" w:ascii="宋体" w:hAnsi="宋体" w:eastAsia="宋体"/>
          <w:color w:val="000000"/>
          <w:szCs w:val="24"/>
          <w:u w:val="none"/>
        </w:rPr>
        <w:t>。</w:t>
      </w:r>
      <w:r>
        <w:rPr>
          <w:rStyle w:val="13"/>
          <w:rFonts w:ascii="宋体" w:hAnsi="宋体" w:eastAsia="宋体"/>
          <w:color w:val="000000"/>
          <w:szCs w:val="24"/>
          <w:u w:val="none"/>
        </w:rPr>
        <w:t>数据</w:t>
      </w:r>
      <w:r>
        <w:rPr>
          <w:rStyle w:val="13"/>
          <w:rFonts w:hint="eastAsia" w:ascii="宋体" w:hAnsi="宋体" w:eastAsia="宋体"/>
          <w:color w:val="000000"/>
          <w:szCs w:val="24"/>
          <w:u w:val="none"/>
        </w:rPr>
        <w:t>统计</w:t>
      </w:r>
      <w:r>
        <w:rPr>
          <w:rStyle w:val="13"/>
          <w:rFonts w:ascii="宋体" w:hAnsi="宋体" w:eastAsia="宋体"/>
          <w:color w:val="000000"/>
          <w:szCs w:val="24"/>
          <w:u w:val="none"/>
        </w:rPr>
        <w:t>截止日期为</w:t>
      </w:r>
      <w:r>
        <w:rPr>
          <w:rStyle w:val="13"/>
          <w:rFonts w:hint="eastAsia" w:ascii="宋体" w:hAnsi="宋体" w:eastAsia="宋体"/>
          <w:color w:val="auto"/>
          <w:szCs w:val="24"/>
          <w:u w:val="none"/>
        </w:rPr>
        <w:t>201</w:t>
      </w:r>
      <w:r>
        <w:rPr>
          <w:rStyle w:val="13"/>
          <w:rFonts w:hint="eastAsia" w:ascii="宋体" w:hAnsi="宋体" w:eastAsia="宋体"/>
          <w:color w:val="auto"/>
          <w:szCs w:val="24"/>
          <w:u w:val="none"/>
          <w:lang w:val="en-US" w:eastAsia="zh-CN"/>
        </w:rPr>
        <w:t>6</w:t>
      </w:r>
      <w:r>
        <w:rPr>
          <w:rStyle w:val="13"/>
          <w:rFonts w:hint="eastAsia" w:ascii="宋体" w:hAnsi="宋体" w:eastAsia="宋体"/>
          <w:color w:val="auto"/>
          <w:szCs w:val="24"/>
          <w:u w:val="none"/>
        </w:rPr>
        <w:t>年</w:t>
      </w:r>
      <w:r>
        <w:rPr>
          <w:rStyle w:val="13"/>
          <w:rFonts w:ascii="宋体" w:hAnsi="宋体" w:eastAsia="宋体"/>
          <w:color w:val="auto"/>
          <w:szCs w:val="24"/>
          <w:u w:val="none"/>
        </w:rPr>
        <w:t>12月</w:t>
      </w:r>
      <w:r>
        <w:rPr>
          <w:rStyle w:val="13"/>
          <w:rFonts w:hint="eastAsia" w:ascii="宋体" w:hAnsi="宋体" w:eastAsia="宋体"/>
          <w:color w:val="auto"/>
          <w:szCs w:val="24"/>
          <w:u w:val="none"/>
          <w:lang w:val="en-US" w:eastAsia="zh-CN"/>
        </w:rPr>
        <w:t>10</w:t>
      </w:r>
      <w:r>
        <w:rPr>
          <w:rStyle w:val="13"/>
          <w:rFonts w:hint="eastAsia" w:ascii="宋体" w:hAnsi="宋体" w:eastAsia="宋体"/>
          <w:color w:val="auto"/>
          <w:szCs w:val="24"/>
          <w:u w:val="none"/>
        </w:rPr>
        <w:t>日</w:t>
      </w:r>
      <w:r>
        <w:rPr>
          <w:rStyle w:val="13"/>
          <w:rFonts w:ascii="宋体" w:hAnsi="宋体" w:eastAsia="宋体"/>
          <w:color w:val="000000"/>
          <w:szCs w:val="24"/>
          <w:u w:val="none"/>
        </w:rPr>
        <w:t>。</w:t>
      </w:r>
      <w:r>
        <w:rPr>
          <w:rStyle w:val="13"/>
          <w:rFonts w:hint="eastAsia" w:ascii="宋体" w:hAnsi="宋体" w:eastAsia="宋体"/>
          <w:color w:val="000000"/>
          <w:szCs w:val="24"/>
          <w:u w:val="none"/>
        </w:rPr>
        <w:t>使用</w:t>
      </w:r>
      <w:r>
        <w:rPr>
          <w:rStyle w:val="13"/>
          <w:rFonts w:ascii="宋体" w:hAnsi="宋体" w:eastAsia="宋体"/>
          <w:color w:val="000000"/>
          <w:szCs w:val="24"/>
          <w:u w:val="none"/>
        </w:rPr>
        <w:t>数</w:t>
      </w:r>
      <w:r>
        <w:rPr>
          <w:rStyle w:val="13"/>
          <w:rFonts w:hint="eastAsia" w:ascii="宋体" w:hAnsi="宋体" w:eastAsia="宋体"/>
          <w:color w:val="000000"/>
          <w:szCs w:val="24"/>
          <w:u w:val="none"/>
        </w:rPr>
        <w:t>据主要涉及毕业生</w:t>
      </w:r>
      <w:r>
        <w:rPr>
          <w:rStyle w:val="13"/>
          <w:rFonts w:ascii="宋体" w:hAnsi="宋体" w:eastAsia="宋体"/>
          <w:color w:val="000000"/>
          <w:szCs w:val="24"/>
          <w:u w:val="none"/>
        </w:rPr>
        <w:t>的</w:t>
      </w:r>
      <w:r>
        <w:rPr>
          <w:rStyle w:val="13"/>
          <w:rFonts w:hint="eastAsia" w:ascii="宋体" w:hAnsi="宋体" w:eastAsia="宋体"/>
          <w:color w:val="000000"/>
          <w:szCs w:val="24"/>
          <w:u w:val="none"/>
        </w:rPr>
        <w:t>规模</w:t>
      </w:r>
      <w:r>
        <w:rPr>
          <w:rStyle w:val="13"/>
          <w:rFonts w:ascii="宋体" w:hAnsi="宋体" w:eastAsia="宋体"/>
          <w:color w:val="000000"/>
          <w:szCs w:val="24"/>
          <w:u w:val="none"/>
        </w:rPr>
        <w:t>和结构、</w:t>
      </w:r>
      <w:r>
        <w:rPr>
          <w:rStyle w:val="13"/>
          <w:rFonts w:hint="eastAsia" w:ascii="宋体" w:hAnsi="宋体" w:eastAsia="宋体"/>
          <w:color w:val="000000"/>
          <w:szCs w:val="24"/>
          <w:u w:val="none"/>
        </w:rPr>
        <w:t>就业率、</w:t>
      </w:r>
      <w:r>
        <w:rPr>
          <w:rStyle w:val="13"/>
          <w:rFonts w:ascii="宋体" w:hAnsi="宋体" w:eastAsia="宋体"/>
          <w:color w:val="000000"/>
          <w:szCs w:val="24"/>
          <w:u w:val="none"/>
        </w:rPr>
        <w:t>毕业</w:t>
      </w:r>
      <w:r>
        <w:rPr>
          <w:rStyle w:val="13"/>
          <w:rFonts w:hint="eastAsia" w:ascii="宋体" w:hAnsi="宋体" w:eastAsia="宋体"/>
          <w:color w:val="000000"/>
          <w:szCs w:val="24"/>
          <w:u w:val="none"/>
        </w:rPr>
        <w:t>去向</w:t>
      </w:r>
      <w:r>
        <w:rPr>
          <w:rStyle w:val="13"/>
          <w:rFonts w:ascii="宋体" w:hAnsi="宋体" w:eastAsia="宋体"/>
          <w:color w:val="000000"/>
          <w:szCs w:val="24"/>
          <w:u w:val="none"/>
        </w:rPr>
        <w:t>、就业流向</w:t>
      </w:r>
      <w:r>
        <w:rPr>
          <w:rStyle w:val="13"/>
          <w:rFonts w:hint="eastAsia" w:ascii="宋体" w:hAnsi="宋体" w:eastAsia="宋体"/>
          <w:color w:val="000000"/>
          <w:szCs w:val="24"/>
          <w:u w:val="none"/>
        </w:rPr>
        <w:t>等。</w:t>
      </w:r>
    </w:p>
    <w:p>
      <w:pPr>
        <w:spacing w:before="78" w:beforeLines="25" w:after="78" w:afterLines="25"/>
        <w:ind w:firstLine="480"/>
        <w:jc w:val="both"/>
        <w:rPr>
          <w:rStyle w:val="13"/>
          <w:rFonts w:ascii="宋体" w:hAnsi="宋体" w:eastAsia="宋体"/>
          <w:color w:val="auto"/>
          <w:szCs w:val="24"/>
          <w:u w:val="none"/>
        </w:rPr>
      </w:pPr>
      <w:r>
        <w:rPr>
          <w:rStyle w:val="13"/>
          <w:rFonts w:hint="eastAsia" w:ascii="宋体" w:hAnsi="宋体" w:eastAsia="宋体"/>
          <w:color w:val="auto"/>
          <w:szCs w:val="24"/>
          <w:u w:val="none"/>
        </w:rPr>
        <w:t>2.</w:t>
      </w:r>
      <w:r>
        <w:rPr>
          <w:rStyle w:val="13"/>
          <w:rFonts w:hint="eastAsia" w:ascii="宋体" w:hAnsi="宋体" w:eastAsia="宋体"/>
          <w:color w:val="auto"/>
          <w:szCs w:val="24"/>
          <w:u w:val="none"/>
          <w:lang w:eastAsia="zh-CN"/>
        </w:rPr>
        <w:t>重庆交通职业学院就业指导中心</w:t>
      </w:r>
      <w:r>
        <w:rPr>
          <w:rStyle w:val="13"/>
          <w:rFonts w:hint="eastAsia" w:ascii="宋体" w:hAnsi="宋体" w:eastAsia="宋体"/>
          <w:color w:val="auto"/>
          <w:szCs w:val="24"/>
          <w:u w:val="none"/>
        </w:rPr>
        <w:t>调研</w:t>
      </w:r>
      <w:r>
        <w:rPr>
          <w:rStyle w:val="13"/>
          <w:rFonts w:ascii="宋体" w:hAnsi="宋体" w:eastAsia="宋体"/>
          <w:color w:val="auto"/>
          <w:szCs w:val="24"/>
          <w:u w:val="none"/>
        </w:rPr>
        <w:t>数据</w:t>
      </w:r>
      <w:r>
        <w:rPr>
          <w:rStyle w:val="13"/>
          <w:rFonts w:hint="eastAsia" w:ascii="宋体" w:hAnsi="宋体" w:eastAsia="宋体"/>
          <w:color w:val="auto"/>
          <w:szCs w:val="24"/>
          <w:u w:val="none"/>
        </w:rPr>
        <w:t>。调研</w:t>
      </w:r>
      <w:r>
        <w:rPr>
          <w:rStyle w:val="13"/>
          <w:rFonts w:ascii="宋体" w:hAnsi="宋体" w:eastAsia="宋体"/>
          <w:color w:val="auto"/>
          <w:szCs w:val="24"/>
          <w:u w:val="none"/>
        </w:rPr>
        <w:t>面向</w:t>
      </w:r>
      <w:r>
        <w:rPr>
          <w:rStyle w:val="13"/>
          <w:rFonts w:hint="eastAsia" w:ascii="宋体" w:hAnsi="宋体" w:eastAsia="宋体"/>
          <w:color w:val="auto"/>
          <w:szCs w:val="24"/>
          <w:u w:val="none"/>
        </w:rPr>
        <w:t>全校201</w:t>
      </w:r>
      <w:r>
        <w:rPr>
          <w:rStyle w:val="13"/>
          <w:rFonts w:hint="eastAsia" w:ascii="宋体" w:hAnsi="宋体" w:eastAsia="宋体"/>
          <w:color w:val="auto"/>
          <w:szCs w:val="24"/>
          <w:u w:val="none"/>
          <w:lang w:val="en-US" w:eastAsia="zh-CN"/>
        </w:rPr>
        <w:t>6</w:t>
      </w:r>
      <w:r>
        <w:rPr>
          <w:rStyle w:val="13"/>
          <w:rFonts w:hint="eastAsia" w:ascii="宋体" w:hAnsi="宋体" w:eastAsia="宋体"/>
          <w:color w:val="auto"/>
          <w:szCs w:val="24"/>
          <w:u w:val="none"/>
        </w:rPr>
        <w:t>届</w:t>
      </w:r>
      <w:r>
        <w:rPr>
          <w:rStyle w:val="13"/>
          <w:rFonts w:ascii="宋体" w:hAnsi="宋体" w:eastAsia="宋体"/>
          <w:color w:val="auto"/>
          <w:szCs w:val="24"/>
          <w:u w:val="none"/>
        </w:rPr>
        <w:t>毕业生</w:t>
      </w:r>
      <w:r>
        <w:rPr>
          <w:rStyle w:val="13"/>
          <w:rFonts w:hint="eastAsia" w:ascii="宋体" w:hAnsi="宋体" w:eastAsia="宋体"/>
          <w:color w:val="auto"/>
          <w:szCs w:val="24"/>
          <w:u w:val="none"/>
        </w:rPr>
        <w:t>，自201</w:t>
      </w:r>
      <w:r>
        <w:rPr>
          <w:rStyle w:val="13"/>
          <w:rFonts w:hint="eastAsia" w:ascii="宋体" w:hAnsi="宋体" w:eastAsia="宋体"/>
          <w:color w:val="auto"/>
          <w:szCs w:val="24"/>
          <w:u w:val="none"/>
          <w:lang w:val="en-US" w:eastAsia="zh-CN"/>
        </w:rPr>
        <w:t>6</w:t>
      </w:r>
      <w:r>
        <w:rPr>
          <w:rStyle w:val="13"/>
          <w:rFonts w:hint="eastAsia" w:ascii="宋体" w:hAnsi="宋体" w:eastAsia="宋体"/>
          <w:color w:val="auto"/>
          <w:szCs w:val="24"/>
          <w:u w:val="none"/>
        </w:rPr>
        <w:t>年</w:t>
      </w:r>
      <w:r>
        <w:rPr>
          <w:rStyle w:val="13"/>
          <w:rFonts w:ascii="宋体" w:hAnsi="宋体" w:eastAsia="宋体"/>
          <w:color w:val="auto"/>
          <w:szCs w:val="24"/>
          <w:u w:val="none"/>
        </w:rPr>
        <w:t>11</w:t>
      </w:r>
      <w:r>
        <w:rPr>
          <w:rStyle w:val="13"/>
          <w:rFonts w:hint="eastAsia" w:ascii="宋体" w:hAnsi="宋体" w:eastAsia="宋体"/>
          <w:color w:val="auto"/>
          <w:szCs w:val="24"/>
          <w:u w:val="none"/>
        </w:rPr>
        <w:t>月</w:t>
      </w:r>
      <w:r>
        <w:rPr>
          <w:rStyle w:val="13"/>
          <w:rFonts w:ascii="宋体" w:hAnsi="宋体" w:eastAsia="宋体"/>
          <w:color w:val="auto"/>
          <w:szCs w:val="24"/>
          <w:u w:val="none"/>
        </w:rPr>
        <w:t>12</w:t>
      </w:r>
      <w:r>
        <w:rPr>
          <w:rStyle w:val="13"/>
          <w:rFonts w:hint="eastAsia" w:ascii="宋体" w:hAnsi="宋体" w:eastAsia="宋体"/>
          <w:color w:val="auto"/>
          <w:szCs w:val="24"/>
          <w:u w:val="none"/>
        </w:rPr>
        <w:t>日</w:t>
      </w:r>
      <w:r>
        <w:rPr>
          <w:rStyle w:val="13"/>
          <w:rFonts w:ascii="宋体" w:hAnsi="宋体" w:eastAsia="宋体"/>
          <w:color w:val="auto"/>
          <w:szCs w:val="24"/>
          <w:u w:val="none"/>
        </w:rPr>
        <w:t>至</w:t>
      </w:r>
      <w:r>
        <w:rPr>
          <w:rStyle w:val="13"/>
          <w:rFonts w:hint="eastAsia" w:ascii="宋体" w:hAnsi="宋体" w:eastAsia="宋体"/>
          <w:color w:val="auto"/>
          <w:szCs w:val="24"/>
          <w:u w:val="none"/>
        </w:rPr>
        <w:t>201</w:t>
      </w:r>
      <w:r>
        <w:rPr>
          <w:rStyle w:val="13"/>
          <w:rFonts w:hint="eastAsia" w:ascii="宋体" w:hAnsi="宋体" w:eastAsia="宋体"/>
          <w:color w:val="auto"/>
          <w:szCs w:val="24"/>
          <w:u w:val="none"/>
          <w:lang w:val="en-US" w:eastAsia="zh-CN"/>
        </w:rPr>
        <w:t>6</w:t>
      </w:r>
      <w:r>
        <w:rPr>
          <w:rStyle w:val="13"/>
          <w:rFonts w:hint="eastAsia" w:ascii="宋体" w:hAnsi="宋体" w:eastAsia="宋体"/>
          <w:color w:val="auto"/>
          <w:szCs w:val="24"/>
          <w:u w:val="none"/>
        </w:rPr>
        <w:t>年</w:t>
      </w:r>
      <w:r>
        <w:rPr>
          <w:rStyle w:val="13"/>
          <w:rFonts w:ascii="宋体" w:hAnsi="宋体" w:eastAsia="宋体"/>
          <w:color w:val="auto"/>
          <w:szCs w:val="24"/>
          <w:u w:val="none"/>
        </w:rPr>
        <w:t>12</w:t>
      </w:r>
      <w:r>
        <w:rPr>
          <w:rStyle w:val="13"/>
          <w:rFonts w:hint="eastAsia" w:ascii="宋体" w:hAnsi="宋体" w:eastAsia="宋体"/>
          <w:color w:val="auto"/>
          <w:szCs w:val="24"/>
          <w:u w:val="none"/>
        </w:rPr>
        <w:t>月</w:t>
      </w:r>
      <w:r>
        <w:rPr>
          <w:rStyle w:val="13"/>
          <w:rFonts w:ascii="宋体" w:hAnsi="宋体" w:eastAsia="宋体"/>
          <w:color w:val="auto"/>
          <w:szCs w:val="24"/>
          <w:u w:val="none"/>
        </w:rPr>
        <w:t>7</w:t>
      </w:r>
      <w:r>
        <w:rPr>
          <w:rStyle w:val="13"/>
          <w:rFonts w:hint="eastAsia" w:ascii="宋体" w:hAnsi="宋体" w:eastAsia="宋体"/>
          <w:color w:val="auto"/>
          <w:szCs w:val="24"/>
          <w:u w:val="none"/>
        </w:rPr>
        <w:t>日</w:t>
      </w:r>
      <w:r>
        <w:rPr>
          <w:rStyle w:val="13"/>
          <w:rFonts w:ascii="宋体" w:hAnsi="宋体" w:eastAsia="宋体"/>
          <w:color w:val="auto"/>
          <w:szCs w:val="24"/>
          <w:u w:val="none"/>
        </w:rPr>
        <w:t>，历时26天</w:t>
      </w:r>
      <w:r>
        <w:rPr>
          <w:rStyle w:val="13"/>
          <w:rFonts w:hint="eastAsia" w:ascii="宋体" w:hAnsi="宋体" w:eastAsia="宋体"/>
          <w:color w:val="auto"/>
          <w:szCs w:val="24"/>
          <w:u w:val="none"/>
        </w:rPr>
        <w:t>，</w:t>
      </w:r>
      <w:r>
        <w:rPr>
          <w:rStyle w:val="13"/>
          <w:rFonts w:ascii="宋体" w:hAnsi="宋体" w:eastAsia="宋体"/>
          <w:color w:val="auto"/>
          <w:szCs w:val="24"/>
          <w:u w:val="none"/>
        </w:rPr>
        <w:t>共回收</w:t>
      </w:r>
      <w:r>
        <w:rPr>
          <w:rStyle w:val="13"/>
          <w:rFonts w:hint="eastAsia" w:ascii="宋体" w:hAnsi="宋体" w:eastAsia="宋体"/>
          <w:color w:val="auto"/>
          <w:szCs w:val="24"/>
          <w:u w:val="none"/>
        </w:rPr>
        <w:t>有效</w:t>
      </w:r>
      <w:r>
        <w:rPr>
          <w:rStyle w:val="13"/>
          <w:rFonts w:ascii="宋体" w:hAnsi="宋体" w:eastAsia="宋体"/>
          <w:color w:val="auto"/>
          <w:szCs w:val="24"/>
          <w:u w:val="none"/>
        </w:rPr>
        <w:t>问卷</w:t>
      </w:r>
      <w:r>
        <w:rPr>
          <w:rStyle w:val="13"/>
          <w:rFonts w:hint="eastAsia" w:ascii="宋体" w:hAnsi="宋体" w:eastAsia="宋体"/>
          <w:color w:val="auto"/>
          <w:szCs w:val="24"/>
          <w:u w:val="none"/>
          <w:lang w:val="en-US" w:eastAsia="zh-CN"/>
        </w:rPr>
        <w:t>564</w:t>
      </w:r>
      <w:r>
        <w:rPr>
          <w:rStyle w:val="13"/>
          <w:rFonts w:ascii="宋体" w:hAnsi="宋体" w:eastAsia="宋体"/>
          <w:color w:val="auto"/>
          <w:szCs w:val="24"/>
          <w:u w:val="none"/>
        </w:rPr>
        <w:t>份，回收率达20.</w:t>
      </w:r>
      <w:r>
        <w:rPr>
          <w:rStyle w:val="13"/>
          <w:rFonts w:hint="eastAsia" w:ascii="宋体" w:hAnsi="宋体" w:eastAsia="宋体"/>
          <w:color w:val="auto"/>
          <w:szCs w:val="24"/>
          <w:u w:val="none"/>
          <w:lang w:val="en-US" w:eastAsia="zh-CN"/>
        </w:rPr>
        <w:t>66</w:t>
      </w:r>
      <w:r>
        <w:rPr>
          <w:rStyle w:val="13"/>
          <w:rFonts w:ascii="宋体" w:hAnsi="宋体" w:eastAsia="宋体"/>
          <w:color w:val="auto"/>
          <w:szCs w:val="24"/>
          <w:u w:val="none"/>
        </w:rPr>
        <w:t>%</w:t>
      </w:r>
      <w:r>
        <w:rPr>
          <w:rStyle w:val="13"/>
          <w:rFonts w:hint="eastAsia" w:ascii="宋体" w:hAnsi="宋体" w:eastAsia="宋体"/>
          <w:color w:val="auto"/>
          <w:szCs w:val="24"/>
          <w:u w:val="none"/>
        </w:rPr>
        <w:t>。使用</w:t>
      </w:r>
      <w:r>
        <w:rPr>
          <w:rStyle w:val="13"/>
          <w:rFonts w:ascii="宋体" w:hAnsi="宋体" w:eastAsia="宋体"/>
          <w:color w:val="auto"/>
          <w:szCs w:val="24"/>
          <w:u w:val="none"/>
        </w:rPr>
        <w:t>数据</w:t>
      </w:r>
      <w:r>
        <w:rPr>
          <w:rStyle w:val="13"/>
          <w:rFonts w:hint="eastAsia" w:ascii="宋体" w:hAnsi="宋体" w:eastAsia="宋体"/>
          <w:color w:val="auto"/>
          <w:szCs w:val="24"/>
          <w:u w:val="none"/>
        </w:rPr>
        <w:t>涉及就业</w:t>
      </w:r>
      <w:r>
        <w:rPr>
          <w:rStyle w:val="13"/>
          <w:rFonts w:ascii="宋体" w:hAnsi="宋体" w:eastAsia="宋体"/>
          <w:color w:val="auto"/>
          <w:szCs w:val="24"/>
          <w:u w:val="none"/>
        </w:rPr>
        <w:t>相关分析</w:t>
      </w:r>
      <w:r>
        <w:rPr>
          <w:rStyle w:val="13"/>
          <w:rFonts w:hint="eastAsia" w:ascii="宋体" w:hAnsi="宋体" w:eastAsia="宋体"/>
          <w:color w:val="auto"/>
          <w:szCs w:val="24"/>
          <w:u w:val="none"/>
        </w:rPr>
        <w:t>及</w:t>
      </w:r>
      <w:r>
        <w:rPr>
          <w:rStyle w:val="13"/>
          <w:rFonts w:ascii="宋体" w:hAnsi="宋体" w:eastAsia="宋体"/>
          <w:color w:val="auto"/>
          <w:szCs w:val="24"/>
          <w:u w:val="none"/>
        </w:rPr>
        <w:t>对</w:t>
      </w:r>
      <w:r>
        <w:rPr>
          <w:rStyle w:val="13"/>
          <w:rFonts w:hint="eastAsia" w:ascii="宋体" w:hAnsi="宋体" w:eastAsia="宋体"/>
          <w:color w:val="auto"/>
          <w:szCs w:val="24"/>
          <w:u w:val="none"/>
        </w:rPr>
        <w:t>教育</w:t>
      </w:r>
      <w:r>
        <w:rPr>
          <w:rStyle w:val="13"/>
          <w:rFonts w:ascii="宋体" w:hAnsi="宋体" w:eastAsia="宋体"/>
          <w:color w:val="auto"/>
          <w:szCs w:val="24"/>
          <w:u w:val="none"/>
        </w:rPr>
        <w:t>教学的反馈部分。</w:t>
      </w:r>
    </w:p>
    <w:p>
      <w:pPr>
        <w:ind w:firstLine="480"/>
        <w:sectPr>
          <w:pgSz w:w="11906" w:h="16838"/>
          <w:pgMar w:top="1440" w:right="1800" w:bottom="1440" w:left="1800" w:header="851" w:footer="992" w:gutter="0"/>
          <w:cols w:space="425" w:num="1"/>
          <w:docGrid w:type="lines" w:linePitch="312" w:charSpace="0"/>
        </w:sectPr>
      </w:pPr>
    </w:p>
    <w:p>
      <w:pPr>
        <w:pStyle w:val="2"/>
        <w:spacing w:after="468"/>
        <w:ind w:firstLine="723"/>
      </w:pPr>
      <w:bookmarkStart w:id="6" w:name="_Toc439953098"/>
      <w:r>
        <w:rPr>
          <w:rFonts w:hint="eastAsia"/>
        </w:rPr>
        <w:t>第一篇：毕业生就业基本情况</w:t>
      </w:r>
      <w:bookmarkEnd w:id="6"/>
    </w:p>
    <w:p>
      <w:pPr>
        <w:pStyle w:val="3"/>
      </w:pPr>
      <w:bookmarkStart w:id="7" w:name="_Toc421112581"/>
      <w:bookmarkStart w:id="8" w:name="_Toc439953099"/>
      <w:r>
        <w:rPr>
          <w:rFonts w:hint="eastAsia"/>
        </w:rPr>
        <w:t>一、毕业生的规模和结构</w:t>
      </w:r>
      <w:bookmarkEnd w:id="7"/>
      <w:bookmarkEnd w:id="8"/>
    </w:p>
    <w:p>
      <w:pPr>
        <w:pStyle w:val="4"/>
        <w:spacing w:before="156" w:after="156"/>
        <w:ind w:left="240"/>
      </w:pPr>
      <w:bookmarkStart w:id="9" w:name="_Toc439953100"/>
      <w:r>
        <w:rPr>
          <w:rFonts w:hint="eastAsia"/>
        </w:rPr>
        <w:t>（一）总体规模</w:t>
      </w:r>
      <w:bookmarkEnd w:id="9"/>
    </w:p>
    <w:p>
      <w:pPr>
        <w:pStyle w:val="18"/>
        <w:spacing w:before="312" w:after="156"/>
        <w:ind w:firstLine="482"/>
        <w:rPr>
          <w:sz w:val="24"/>
          <w:szCs w:val="24"/>
        </w:rPr>
      </w:pPr>
      <w:r>
        <w:rPr>
          <w:rFonts w:hint="eastAsia"/>
          <w:sz w:val="24"/>
          <w:szCs w:val="24"/>
        </w:rPr>
        <w:t>学校201</w:t>
      </w:r>
      <w:r>
        <w:rPr>
          <w:rFonts w:hint="eastAsia"/>
          <w:sz w:val="24"/>
          <w:szCs w:val="24"/>
          <w:lang w:val="en-US" w:eastAsia="zh-CN"/>
        </w:rPr>
        <w:t>6</w:t>
      </w:r>
      <w:r>
        <w:rPr>
          <w:rFonts w:hint="eastAsia"/>
          <w:sz w:val="24"/>
          <w:szCs w:val="24"/>
        </w:rPr>
        <w:t>届</w:t>
      </w:r>
      <w:r>
        <w:rPr>
          <w:sz w:val="24"/>
          <w:szCs w:val="24"/>
        </w:rPr>
        <w:t>毕业生</w:t>
      </w:r>
      <w:r>
        <w:rPr>
          <w:rFonts w:hint="eastAsia"/>
          <w:sz w:val="24"/>
          <w:szCs w:val="24"/>
        </w:rPr>
        <w:t>共</w:t>
      </w:r>
      <w:r>
        <w:rPr>
          <w:rFonts w:hint="eastAsia"/>
          <w:sz w:val="24"/>
          <w:szCs w:val="24"/>
          <w:lang w:val="en-US" w:eastAsia="zh-CN"/>
        </w:rPr>
        <w:t>2730</w:t>
      </w:r>
      <w:r>
        <w:rPr>
          <w:sz w:val="24"/>
          <w:szCs w:val="24"/>
        </w:rPr>
        <w:t>名。</w:t>
      </w:r>
      <w:r>
        <w:rPr>
          <w:rFonts w:hint="eastAsia"/>
          <w:sz w:val="24"/>
          <w:szCs w:val="24"/>
        </w:rPr>
        <w:t>其中</w:t>
      </w:r>
      <w:r>
        <w:rPr>
          <w:sz w:val="24"/>
          <w:szCs w:val="24"/>
        </w:rPr>
        <w:t>，</w:t>
      </w:r>
      <w:r>
        <w:rPr>
          <w:rFonts w:hint="eastAsia"/>
          <w:sz w:val="24"/>
          <w:szCs w:val="24"/>
        </w:rPr>
        <w:t>男</w:t>
      </w:r>
      <w:r>
        <w:rPr>
          <w:sz w:val="24"/>
          <w:szCs w:val="24"/>
        </w:rPr>
        <w:t>生</w:t>
      </w:r>
      <w:r>
        <w:rPr>
          <w:rFonts w:hint="eastAsia"/>
          <w:sz w:val="24"/>
          <w:szCs w:val="24"/>
          <w:lang w:val="en-US" w:eastAsia="zh-CN"/>
        </w:rPr>
        <w:t>1945</w:t>
      </w:r>
      <w:r>
        <w:rPr>
          <w:rFonts w:hint="eastAsia"/>
          <w:sz w:val="24"/>
          <w:szCs w:val="24"/>
        </w:rPr>
        <w:t>名</w:t>
      </w:r>
      <w:r>
        <w:rPr>
          <w:sz w:val="24"/>
          <w:szCs w:val="24"/>
        </w:rPr>
        <w:t>，</w:t>
      </w:r>
      <w:r>
        <w:rPr>
          <w:sz w:val="24"/>
          <w:szCs w:val="24"/>
        </w:rPr>
        <w:fldChar w:fldCharType="begin"/>
      </w:r>
      <w:r>
        <w:rPr>
          <w:sz w:val="24"/>
          <w:szCs w:val="24"/>
        </w:rPr>
        <w:instrText xml:space="preserve"> LINK Excel.Sheet.8</w:instrText>
      </w:r>
      <w:r>
        <w:rPr>
          <w:rFonts w:hint="eastAsia"/>
          <w:sz w:val="24"/>
          <w:szCs w:val="24"/>
        </w:rPr>
        <w:instrText xml:space="preserve"> D:\\duiwai\\对外单学历图.xls 文字性内容!R2C3 </w:instrText>
      </w:r>
      <w:r>
        <w:rPr>
          <w:sz w:val="24"/>
          <w:szCs w:val="24"/>
        </w:rPr>
        <w:instrText xml:space="preserve">\a \t  \* MERGEFORMAT </w:instrText>
      </w:r>
      <w:r>
        <w:rPr>
          <w:sz w:val="24"/>
          <w:szCs w:val="24"/>
        </w:rPr>
        <w:fldChar w:fldCharType="separate"/>
      </w:r>
      <w:r>
        <w:rPr>
          <w:rFonts w:hint="eastAsia"/>
          <w:sz w:val="24"/>
          <w:szCs w:val="24"/>
        </w:rPr>
        <w:t>女</w:t>
      </w:r>
      <w:r>
        <w:rPr>
          <w:sz w:val="24"/>
          <w:szCs w:val="24"/>
        </w:rPr>
        <w:fldChar w:fldCharType="end"/>
      </w:r>
      <w:r>
        <w:rPr>
          <w:sz w:val="24"/>
          <w:szCs w:val="24"/>
        </w:rPr>
        <w:t>生</w:t>
      </w:r>
      <w:r>
        <w:rPr>
          <w:rFonts w:hint="eastAsia"/>
          <w:sz w:val="24"/>
          <w:szCs w:val="24"/>
          <w:lang w:val="en-US" w:eastAsia="zh-CN"/>
        </w:rPr>
        <w:t>785</w:t>
      </w:r>
      <w:r>
        <w:rPr>
          <w:rFonts w:hint="eastAsia"/>
          <w:sz w:val="24"/>
          <w:szCs w:val="24"/>
        </w:rPr>
        <w:t>名，</w:t>
      </w:r>
      <w:r>
        <w:rPr>
          <w:sz w:val="24"/>
          <w:szCs w:val="24"/>
        </w:rPr>
        <w:t>男女性别比为</w:t>
      </w:r>
      <w:r>
        <w:rPr>
          <w:rFonts w:hint="eastAsia"/>
          <w:sz w:val="24"/>
          <w:szCs w:val="24"/>
        </w:rPr>
        <w:t>2.</w:t>
      </w:r>
      <w:r>
        <w:rPr>
          <w:rFonts w:hint="eastAsia"/>
          <w:sz w:val="24"/>
          <w:szCs w:val="24"/>
          <w:lang w:val="en-US" w:eastAsia="zh-CN"/>
        </w:rPr>
        <w:t>47</w:t>
      </w:r>
      <w:r>
        <w:rPr>
          <w:rFonts w:hint="eastAsia"/>
          <w:sz w:val="24"/>
          <w:szCs w:val="24"/>
        </w:rPr>
        <w:t>:1；</w:t>
      </w:r>
      <w:r>
        <w:rPr>
          <w:sz w:val="24"/>
          <w:szCs w:val="24"/>
        </w:rPr>
        <w:fldChar w:fldCharType="begin"/>
      </w:r>
      <w:r>
        <w:rPr>
          <w:sz w:val="24"/>
          <w:szCs w:val="24"/>
        </w:rPr>
        <w:instrText xml:space="preserve"> </w:instrText>
      </w:r>
      <w:r>
        <w:rPr>
          <w:rFonts w:hint="eastAsia"/>
          <w:sz w:val="24"/>
          <w:szCs w:val="24"/>
        </w:rPr>
        <w:instrText xml:space="preserve">LINK </w:instrText>
      </w:r>
      <w:r>
        <w:rPr>
          <w:sz w:val="24"/>
          <w:szCs w:val="24"/>
        </w:rPr>
        <w:instrText xml:space="preserve">Excel.Sheet.8</w:instrText>
      </w:r>
      <w:r>
        <w:rPr>
          <w:rFonts w:hint="eastAsia"/>
          <w:sz w:val="24"/>
          <w:szCs w:val="24"/>
        </w:rPr>
        <w:instrText xml:space="preserve"> D:\\duiwai\\对外单学历图.xls 文字性内容!R5C3 \a \t</w:instrText>
      </w:r>
      <w:r>
        <w:rPr>
          <w:sz w:val="24"/>
          <w:szCs w:val="24"/>
        </w:rPr>
        <w:instrText xml:space="preserve">  \* MERGEFORMAT </w:instrText>
      </w:r>
      <w:r>
        <w:rPr>
          <w:sz w:val="24"/>
          <w:szCs w:val="24"/>
        </w:rPr>
        <w:fldChar w:fldCharType="separate"/>
      </w:r>
      <w:r>
        <w:rPr>
          <w:sz w:val="24"/>
          <w:szCs w:val="24"/>
        </w:rPr>
        <w:t>市</w:t>
      </w:r>
      <w:r>
        <w:rPr>
          <w:rFonts w:hint="eastAsia"/>
          <w:sz w:val="24"/>
          <w:szCs w:val="24"/>
        </w:rPr>
        <w:t>内生源</w:t>
      </w:r>
      <w:r>
        <w:rPr>
          <w:sz w:val="24"/>
          <w:szCs w:val="24"/>
        </w:rPr>
        <w:fldChar w:fldCharType="end"/>
      </w:r>
      <w:r>
        <w:rPr>
          <w:rFonts w:hint="eastAsia"/>
          <w:sz w:val="24"/>
          <w:szCs w:val="24"/>
          <w:lang w:val="en-US" w:eastAsia="zh-CN"/>
        </w:rPr>
        <w:t>1872</w:t>
      </w:r>
      <w:r>
        <w:rPr>
          <w:rFonts w:hint="eastAsia"/>
          <w:sz w:val="24"/>
          <w:szCs w:val="24"/>
        </w:rPr>
        <w:t>人，</w:t>
      </w:r>
      <w:r>
        <w:rPr>
          <w:sz w:val="24"/>
          <w:szCs w:val="24"/>
        </w:rPr>
        <w:fldChar w:fldCharType="begin"/>
      </w:r>
      <w:r>
        <w:rPr>
          <w:sz w:val="24"/>
          <w:szCs w:val="24"/>
        </w:rPr>
        <w:instrText xml:space="preserve"> </w:instrText>
      </w:r>
      <w:r>
        <w:rPr>
          <w:rFonts w:hint="eastAsia"/>
          <w:sz w:val="24"/>
          <w:szCs w:val="24"/>
        </w:rPr>
        <w:instrText xml:space="preserve">LINK </w:instrText>
      </w:r>
      <w:r>
        <w:rPr>
          <w:sz w:val="24"/>
          <w:szCs w:val="24"/>
        </w:rPr>
        <w:instrText xml:space="preserve">Excel.Sheet.8</w:instrText>
      </w:r>
      <w:r>
        <w:rPr>
          <w:rFonts w:hint="eastAsia"/>
          <w:sz w:val="24"/>
          <w:szCs w:val="24"/>
        </w:rPr>
        <w:instrText xml:space="preserve"> D:\\duiwai\\对外单学历图.xls 文字性内容!R4C3 \a \t</w:instrText>
      </w:r>
      <w:r>
        <w:rPr>
          <w:sz w:val="24"/>
          <w:szCs w:val="24"/>
        </w:rPr>
        <w:instrText xml:space="preserve">  \* MERGEFORMAT </w:instrText>
      </w:r>
      <w:r>
        <w:rPr>
          <w:sz w:val="24"/>
          <w:szCs w:val="24"/>
        </w:rPr>
        <w:fldChar w:fldCharType="separate"/>
      </w:r>
      <w:r>
        <w:rPr>
          <w:sz w:val="24"/>
          <w:szCs w:val="24"/>
        </w:rPr>
        <w:t>市</w:t>
      </w:r>
      <w:r>
        <w:rPr>
          <w:rFonts w:hint="eastAsia"/>
          <w:sz w:val="24"/>
          <w:szCs w:val="24"/>
        </w:rPr>
        <w:t>外生源</w:t>
      </w:r>
      <w:r>
        <w:rPr>
          <w:sz w:val="24"/>
          <w:szCs w:val="24"/>
        </w:rPr>
        <w:fldChar w:fldCharType="end"/>
      </w:r>
      <w:r>
        <w:rPr>
          <w:rFonts w:hint="eastAsia"/>
          <w:sz w:val="24"/>
          <w:szCs w:val="24"/>
          <w:lang w:val="en-US" w:eastAsia="zh-CN"/>
        </w:rPr>
        <w:t>858</w:t>
      </w:r>
      <w:r>
        <w:rPr>
          <w:sz w:val="24"/>
          <w:szCs w:val="24"/>
        </w:rPr>
        <w:t>人</w:t>
      </w:r>
      <w:r>
        <w:rPr>
          <w:rFonts w:hint="eastAsia"/>
          <w:sz w:val="24"/>
          <w:szCs w:val="24"/>
        </w:rPr>
        <w:t>，</w:t>
      </w:r>
      <w:r>
        <w:rPr>
          <w:sz w:val="24"/>
          <w:szCs w:val="24"/>
        </w:rPr>
        <w:t>以</w:t>
      </w:r>
      <w:r>
        <w:rPr>
          <w:rFonts w:hint="eastAsia"/>
          <w:sz w:val="24"/>
          <w:szCs w:val="24"/>
        </w:rPr>
        <w:t>市</w:t>
      </w:r>
      <w:r>
        <w:rPr>
          <w:sz w:val="24"/>
          <w:szCs w:val="24"/>
        </w:rPr>
        <w:t>内生源为主</w:t>
      </w:r>
    </w:p>
    <w:p>
      <w:pPr>
        <w:ind w:firstLine="600" w:firstLineChars="250"/>
      </w:pPr>
      <w:r>
        <w:drawing>
          <wp:inline distT="0" distB="0" distL="0" distR="0">
            <wp:extent cx="2225040" cy="1988820"/>
            <wp:effectExtent l="0" t="0" r="3810" b="1143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eastAsia"/>
        </w:rPr>
        <w:t xml:space="preserve">   </w:t>
      </w:r>
      <w:r>
        <w:drawing>
          <wp:inline distT="0" distB="0" distL="0" distR="0">
            <wp:extent cx="2225040" cy="1996440"/>
            <wp:effectExtent l="0" t="0" r="3810" b="381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19"/>
      </w:pPr>
      <w:r>
        <w:rPr>
          <w:rFonts w:hint="eastAsia"/>
        </w:rPr>
        <w:t>数据来源</w:t>
      </w:r>
      <w:r>
        <w:t>：</w:t>
      </w:r>
      <w:r>
        <w:rPr>
          <w:rFonts w:hint="eastAsia"/>
        </w:rPr>
        <w:t>重庆市大学中专毕业生就业数据库。</w:t>
      </w:r>
    </w:p>
    <w:p>
      <w:pPr>
        <w:pStyle w:val="4"/>
        <w:spacing w:before="156" w:after="156"/>
        <w:ind w:left="240"/>
      </w:pPr>
      <w:bookmarkStart w:id="10" w:name="_Toc439953101"/>
      <w:r>
        <w:rPr>
          <w:rFonts w:hint="eastAsia"/>
        </w:rPr>
        <w:t>（二</w:t>
      </w:r>
      <w:r>
        <w:t>）</w:t>
      </w:r>
      <w:r>
        <w:rPr>
          <w:rFonts w:hint="eastAsia"/>
        </w:rPr>
        <w:t>院系及</w:t>
      </w:r>
      <w:r>
        <w:t>专业结构</w:t>
      </w:r>
      <w:bookmarkEnd w:id="10"/>
    </w:p>
    <w:p>
      <w:pPr>
        <w:pStyle w:val="18"/>
        <w:spacing w:before="312" w:after="156"/>
        <w:ind w:firstLine="482"/>
        <w:rPr>
          <w:color w:val="FFFFFF" w:themeColor="background1"/>
          <w:sz w:val="24"/>
          <w:szCs w:val="24"/>
          <w14:textFill>
            <w14:solidFill>
              <w14:schemeClr w14:val="bg1"/>
            </w14:solidFill>
          </w14:textFill>
        </w:rPr>
      </w:pPr>
      <w:r>
        <w:rPr>
          <w:rFonts w:hint="eastAsia"/>
          <w:sz w:val="24"/>
          <w:szCs w:val="24"/>
        </w:rPr>
        <w:t>学校</w:t>
      </w:r>
      <w:r>
        <w:rPr>
          <w:sz w:val="24"/>
          <w:szCs w:val="24"/>
        </w:rPr>
        <w:t>毕业生</w:t>
      </w:r>
      <w:r>
        <w:rPr>
          <w:rFonts w:hint="eastAsia"/>
          <w:sz w:val="24"/>
          <w:szCs w:val="24"/>
        </w:rPr>
        <w:t>共</w:t>
      </w:r>
      <w:r>
        <w:rPr>
          <w:sz w:val="24"/>
          <w:szCs w:val="24"/>
        </w:rPr>
        <w:t>分布在</w:t>
      </w:r>
      <w:r>
        <w:rPr>
          <w:rFonts w:hint="eastAsia"/>
          <w:sz w:val="24"/>
          <w:szCs w:val="24"/>
          <w:lang w:val="en-US" w:eastAsia="zh-CN"/>
        </w:rPr>
        <w:t>10</w:t>
      </w:r>
      <w:r>
        <w:rPr>
          <w:rFonts w:hint="eastAsia"/>
          <w:sz w:val="24"/>
          <w:szCs w:val="24"/>
        </w:rPr>
        <w:t>个系</w:t>
      </w:r>
      <w:r>
        <w:rPr>
          <w:rFonts w:hint="eastAsia"/>
          <w:sz w:val="24"/>
          <w:szCs w:val="24"/>
          <w:lang w:val="en-US" w:eastAsia="zh-CN"/>
        </w:rPr>
        <w:t>24</w:t>
      </w:r>
      <w:r>
        <w:rPr>
          <w:rFonts w:hint="eastAsia"/>
          <w:sz w:val="24"/>
          <w:szCs w:val="24"/>
        </w:rPr>
        <w:t>个</w:t>
      </w:r>
      <w:r>
        <w:rPr>
          <w:sz w:val="24"/>
          <w:szCs w:val="24"/>
        </w:rPr>
        <w:t>专业</w:t>
      </w:r>
      <w:r>
        <w:rPr>
          <w:rFonts w:hint="eastAsia"/>
          <w:sz w:val="24"/>
          <w:szCs w:val="24"/>
        </w:rPr>
        <w:t>。其中，</w:t>
      </w:r>
      <w:r>
        <w:rPr>
          <w:rFonts w:hint="eastAsia"/>
          <w:sz w:val="24"/>
          <w:szCs w:val="24"/>
          <w:lang w:eastAsia="zh-CN"/>
        </w:rPr>
        <w:t>工程造价专业</w:t>
      </w:r>
      <w:r>
        <w:rPr>
          <w:sz w:val="24"/>
          <w:szCs w:val="24"/>
        </w:rPr>
        <w:t>毕业</w:t>
      </w:r>
      <w:r>
        <w:rPr>
          <w:rFonts w:hint="eastAsia"/>
          <w:sz w:val="24"/>
          <w:szCs w:val="24"/>
        </w:rPr>
        <w:t>人数</w:t>
      </w:r>
      <w:r>
        <w:rPr>
          <w:sz w:val="24"/>
          <w:szCs w:val="24"/>
        </w:rPr>
        <w:t>最多，占比</w:t>
      </w:r>
      <w:r>
        <w:rPr>
          <w:rFonts w:hint="eastAsia"/>
          <w:sz w:val="24"/>
          <w:szCs w:val="24"/>
          <w:lang w:val="en-US" w:eastAsia="zh-CN"/>
        </w:rPr>
        <w:t>23.66</w:t>
      </w:r>
      <w:r>
        <w:rPr>
          <w:sz w:val="24"/>
          <w:szCs w:val="24"/>
        </w:rPr>
        <w:t>%</w:t>
      </w:r>
    </w:p>
    <w:tbl>
      <w:tblPr>
        <w:tblStyle w:val="20"/>
        <w:tblW w:w="8217" w:type="dxa"/>
        <w:tblInd w:w="0" w:type="dxa"/>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
      <w:tblGrid>
        <w:gridCol w:w="1555"/>
        <w:gridCol w:w="850"/>
        <w:gridCol w:w="992"/>
        <w:gridCol w:w="2694"/>
        <w:gridCol w:w="992"/>
        <w:gridCol w:w="1134"/>
      </w:tblGrid>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ascii="宋体" w:hAnsi="宋体" w:eastAsia="宋体" w:cs="宋体"/>
                <w:b w:val="0"/>
                <w:bCs/>
                <w:color w:val="auto"/>
                <w:sz w:val="22"/>
                <w:szCs w:val="22"/>
              </w:rPr>
            </w:pPr>
            <w:r>
              <w:rPr>
                <w:rFonts w:hint="eastAsia" w:ascii="宋体" w:hAnsi="宋体" w:eastAsia="宋体" w:cs="宋体"/>
                <w:b w:val="0"/>
                <w:bCs/>
                <w:color w:val="auto"/>
                <w:sz w:val="22"/>
                <w:szCs w:val="22"/>
              </w:rPr>
              <w:t>学院</w:t>
            </w:r>
          </w:p>
        </w:tc>
        <w:tc>
          <w:tcPr>
            <w:tcW w:w="850"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ascii="宋体" w:hAnsi="宋体" w:eastAsia="宋体" w:cs="宋体"/>
                <w:b w:val="0"/>
                <w:bCs/>
                <w:color w:val="auto"/>
                <w:sz w:val="22"/>
                <w:szCs w:val="22"/>
              </w:rPr>
            </w:pPr>
            <w:r>
              <w:rPr>
                <w:rFonts w:hint="eastAsia" w:ascii="宋体" w:hAnsi="宋体" w:eastAsia="宋体" w:cs="宋体"/>
                <w:b w:val="0"/>
                <w:bCs/>
                <w:color w:val="auto"/>
                <w:sz w:val="22"/>
                <w:szCs w:val="22"/>
              </w:rPr>
              <w:t>人数</w:t>
            </w:r>
          </w:p>
        </w:tc>
        <w:tc>
          <w:tcPr>
            <w:tcW w:w="992"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ascii="宋体" w:hAnsi="宋体" w:eastAsia="宋体" w:cs="宋体"/>
                <w:b w:val="0"/>
                <w:bCs/>
                <w:color w:val="auto"/>
                <w:sz w:val="22"/>
                <w:szCs w:val="22"/>
              </w:rPr>
            </w:pPr>
            <w:r>
              <w:rPr>
                <w:rFonts w:hint="eastAsia" w:ascii="宋体" w:hAnsi="宋体" w:eastAsia="宋体" w:cs="宋体"/>
                <w:b w:val="0"/>
                <w:bCs/>
                <w:color w:val="auto"/>
                <w:sz w:val="22"/>
                <w:szCs w:val="22"/>
              </w:rPr>
              <w:t>比例(%)</w:t>
            </w:r>
          </w:p>
        </w:tc>
        <w:tc>
          <w:tcPr>
            <w:tcW w:w="2694"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ascii="宋体" w:hAnsi="宋体" w:eastAsia="宋体" w:cs="宋体"/>
                <w:b w:val="0"/>
                <w:bCs/>
                <w:color w:val="auto"/>
                <w:sz w:val="22"/>
                <w:szCs w:val="22"/>
              </w:rPr>
            </w:pPr>
            <w:r>
              <w:rPr>
                <w:rFonts w:hint="eastAsia" w:ascii="宋体" w:hAnsi="宋体" w:eastAsia="宋体" w:cs="宋体"/>
                <w:b w:val="0"/>
                <w:bCs/>
                <w:color w:val="auto"/>
                <w:sz w:val="22"/>
                <w:szCs w:val="22"/>
              </w:rPr>
              <w:t>专业</w:t>
            </w:r>
          </w:p>
        </w:tc>
        <w:tc>
          <w:tcPr>
            <w:tcW w:w="992"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ascii="宋体" w:hAnsi="宋体" w:eastAsia="宋体" w:cs="宋体"/>
                <w:b w:val="0"/>
                <w:bCs/>
                <w:color w:val="auto"/>
                <w:sz w:val="22"/>
                <w:szCs w:val="22"/>
              </w:rPr>
            </w:pPr>
            <w:r>
              <w:rPr>
                <w:rFonts w:hint="eastAsia" w:ascii="宋体" w:hAnsi="宋体" w:eastAsia="宋体" w:cs="宋体"/>
                <w:b w:val="0"/>
                <w:bCs/>
                <w:color w:val="auto"/>
                <w:sz w:val="22"/>
                <w:szCs w:val="22"/>
              </w:rPr>
              <w:t>人数</w:t>
            </w:r>
          </w:p>
        </w:tc>
        <w:tc>
          <w:tcPr>
            <w:tcW w:w="1134"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ascii="宋体" w:hAnsi="宋体" w:eastAsia="宋体" w:cs="宋体"/>
                <w:b w:val="0"/>
                <w:bCs/>
                <w:color w:val="auto"/>
                <w:sz w:val="22"/>
                <w:szCs w:val="22"/>
              </w:rPr>
            </w:pPr>
            <w:r>
              <w:rPr>
                <w:rFonts w:hint="eastAsia" w:ascii="宋体" w:hAnsi="宋体" w:eastAsia="宋体" w:cs="宋体"/>
                <w:b w:val="0"/>
                <w:bCs/>
                <w:color w:val="auto"/>
                <w:sz w:val="22"/>
                <w:szCs w:val="22"/>
              </w:rPr>
              <w:t>比例(%)</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restart"/>
            <w:tcBorders>
              <w:top w:val="single" w:color="FFFFFF"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道路桥梁系</w:t>
            </w:r>
          </w:p>
        </w:tc>
        <w:tc>
          <w:tcPr>
            <w:tcW w:w="850" w:type="dxa"/>
            <w:vMerge w:val="restart"/>
            <w:tcBorders>
              <w:top w:val="single" w:color="FFFFFF"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738</w:t>
            </w:r>
          </w:p>
        </w:tc>
        <w:tc>
          <w:tcPr>
            <w:tcW w:w="992" w:type="dxa"/>
            <w:vMerge w:val="restart"/>
            <w:tcBorders>
              <w:top w:val="single" w:color="FFFFFF"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27.03</w:t>
            </w:r>
          </w:p>
        </w:tc>
        <w:tc>
          <w:tcPr>
            <w:tcW w:w="2694" w:type="dxa"/>
            <w:tcBorders>
              <w:top w:val="single" w:color="FFFFFF"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道路桥梁工程技术</w:t>
            </w:r>
          </w:p>
        </w:tc>
        <w:tc>
          <w:tcPr>
            <w:tcW w:w="992" w:type="dxa"/>
            <w:tcBorders>
              <w:top w:val="single" w:color="FFFFFF"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606</w:t>
            </w:r>
          </w:p>
        </w:tc>
        <w:tc>
          <w:tcPr>
            <w:tcW w:w="1134" w:type="dxa"/>
            <w:tcBorders>
              <w:top w:val="single" w:color="FFFFFF"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22.20</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850"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992"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工程测量与监理</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62</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2.27</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850"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992"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道路桥梁工程检测技术</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12</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0.44</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850"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992"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高等级公路维护与管理</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16</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0.59</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850"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992"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工程造价（道路桥梁造价）</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42</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1.54</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铁道工程系</w:t>
            </w:r>
          </w:p>
        </w:tc>
        <w:tc>
          <w:tcPr>
            <w:tcW w:w="85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88</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3.22</w:t>
            </w: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土木工程检测技术</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88</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3.22</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建筑系</w:t>
            </w:r>
          </w:p>
        </w:tc>
        <w:tc>
          <w:tcPr>
            <w:tcW w:w="850"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1145</w:t>
            </w:r>
          </w:p>
        </w:tc>
        <w:tc>
          <w:tcPr>
            <w:tcW w:w="992"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41.94</w:t>
            </w: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建筑设计技术</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193</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7.07</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850"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992"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工程造价</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646</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23.66</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850"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992"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建筑电气工程技术</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14</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0.51</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850"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992"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建筑工程管理</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292</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10.70</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车辆工程系</w:t>
            </w:r>
          </w:p>
        </w:tc>
        <w:tc>
          <w:tcPr>
            <w:tcW w:w="850"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315</w:t>
            </w:r>
          </w:p>
        </w:tc>
        <w:tc>
          <w:tcPr>
            <w:tcW w:w="992"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11.54</w:t>
            </w: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汽车检测与维修技术</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188</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6.89</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850"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992"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汽车技术服务与营销</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85</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3.11</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850"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992"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汽车电子技术</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29</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1.06</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850"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992"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保险实务</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13</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0.48</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机电系</w:t>
            </w:r>
          </w:p>
        </w:tc>
        <w:tc>
          <w:tcPr>
            <w:tcW w:w="85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55</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2.01</w:t>
            </w: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机械设计与制造</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55</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2.01</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河海系</w:t>
            </w:r>
          </w:p>
        </w:tc>
        <w:tc>
          <w:tcPr>
            <w:tcW w:w="85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30</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1.10</w:t>
            </w: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港口与航运管理</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30</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1.10</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航空系</w:t>
            </w:r>
          </w:p>
        </w:tc>
        <w:tc>
          <w:tcPr>
            <w:tcW w:w="850"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74</w:t>
            </w:r>
          </w:p>
        </w:tc>
        <w:tc>
          <w:tcPr>
            <w:tcW w:w="992"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2.71</w:t>
            </w: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空中乘务</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45</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1.65</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850"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992"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物流管理（国际航空物流）</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29</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1.06</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交通运输系</w:t>
            </w:r>
          </w:p>
        </w:tc>
        <w:tc>
          <w:tcPr>
            <w:tcW w:w="850"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180</w:t>
            </w:r>
          </w:p>
        </w:tc>
        <w:tc>
          <w:tcPr>
            <w:tcW w:w="992"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6.59</w:t>
            </w: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城市交通运输</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58</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2.12</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850"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992"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物流管理</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81</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2.97</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850"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992"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报关与国际货运</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41</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1.50</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交通工程系</w:t>
            </w:r>
          </w:p>
        </w:tc>
        <w:tc>
          <w:tcPr>
            <w:tcW w:w="850"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105</w:t>
            </w:r>
          </w:p>
        </w:tc>
        <w:tc>
          <w:tcPr>
            <w:tcW w:w="992"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3.85</w:t>
            </w: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交通安全与智能控制</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11</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0.40</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850"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992"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计算机硬件与外设</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9</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0.33</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55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850"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992"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rPr>
            </w:pPr>
          </w:p>
        </w:tc>
        <w:tc>
          <w:tcPr>
            <w:tcW w:w="269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eastAsia="zh-CN"/>
              </w:rPr>
            </w:pPr>
            <w:r>
              <w:rPr>
                <w:rFonts w:hint="eastAsia" w:ascii="宋体" w:hAnsi="宋体" w:eastAsia="宋体" w:cs="宋体"/>
                <w:b w:val="0"/>
                <w:bCs/>
                <w:color w:val="auto"/>
                <w:sz w:val="22"/>
                <w:szCs w:val="22"/>
                <w:lang w:eastAsia="zh-CN"/>
              </w:rPr>
              <w:t>城市轨道交通控制</w:t>
            </w:r>
          </w:p>
        </w:tc>
        <w:tc>
          <w:tcPr>
            <w:tcW w:w="992"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85</w:t>
            </w:r>
          </w:p>
        </w:tc>
        <w:tc>
          <w:tcPr>
            <w:tcW w:w="1134"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auto"/>
                <w:sz w:val="22"/>
                <w:szCs w:val="22"/>
                <w:lang w:val="en-US" w:eastAsia="zh-CN"/>
              </w:rPr>
            </w:pPr>
            <w:r>
              <w:rPr>
                <w:rFonts w:hint="eastAsia" w:ascii="宋体" w:hAnsi="宋体" w:eastAsia="宋体" w:cs="宋体"/>
                <w:b w:val="0"/>
                <w:bCs/>
                <w:color w:val="auto"/>
                <w:sz w:val="22"/>
                <w:szCs w:val="22"/>
                <w:lang w:val="en-US" w:eastAsia="zh-CN"/>
              </w:rPr>
              <w:t>3.11</w:t>
            </w:r>
          </w:p>
        </w:tc>
      </w:tr>
    </w:tbl>
    <w:p>
      <w:pPr>
        <w:pStyle w:val="19"/>
      </w:pPr>
    </w:p>
    <w:p>
      <w:pPr>
        <w:pStyle w:val="19"/>
      </w:pPr>
      <w:r>
        <w:rPr>
          <w:rFonts w:hint="eastAsia"/>
        </w:rPr>
        <w:t>注：由于四舍五入的原因，因此数据占比之和可能会出现不等于100</w:t>
      </w:r>
      <w:r>
        <w:t>%</w:t>
      </w:r>
      <w:r>
        <w:rPr>
          <w:rFonts w:hint="eastAsia"/>
        </w:rPr>
        <w:t>的情况（误差为±0.01）。</w:t>
      </w:r>
    </w:p>
    <w:p>
      <w:pPr>
        <w:pStyle w:val="19"/>
      </w:pPr>
      <w:r>
        <w:rPr>
          <w:rFonts w:hint="eastAsia"/>
        </w:rPr>
        <w:t>数据来源</w:t>
      </w:r>
      <w:r>
        <w:t>：</w:t>
      </w:r>
      <w:r>
        <w:rPr>
          <w:rFonts w:hint="eastAsia"/>
        </w:rPr>
        <w:t>重庆市大学中专毕业生就业数据库。</w:t>
      </w:r>
    </w:p>
    <w:p>
      <w:pPr>
        <w:ind w:firstLine="480"/>
      </w:pPr>
    </w:p>
    <w:p>
      <w:pPr>
        <w:pStyle w:val="3"/>
      </w:pPr>
      <w:bookmarkStart w:id="11" w:name="_Toc439953102"/>
      <w:r>
        <w:rPr>
          <w:rFonts w:hint="eastAsia"/>
        </w:rPr>
        <w:t>二、就业</w:t>
      </w:r>
      <w:r>
        <w:t>率</w:t>
      </w:r>
      <w:r>
        <w:rPr>
          <w:rFonts w:hint="eastAsia"/>
        </w:rPr>
        <w:t>及</w:t>
      </w:r>
      <w:r>
        <w:t>毕业去向</w:t>
      </w:r>
      <w:bookmarkEnd w:id="11"/>
    </w:p>
    <w:p>
      <w:pPr>
        <w:pStyle w:val="4"/>
        <w:spacing w:before="156" w:after="156"/>
        <w:ind w:left="240"/>
      </w:pPr>
      <w:bookmarkStart w:id="12" w:name="_Toc439953103"/>
      <w:r>
        <w:rPr>
          <w:rFonts w:hint="eastAsia"/>
        </w:rPr>
        <w:t>（一）总体就业率及</w:t>
      </w:r>
      <w:r>
        <w:t>毕业去向</w:t>
      </w:r>
      <w:bookmarkEnd w:id="12"/>
    </w:p>
    <w:p>
      <w:pPr>
        <w:pStyle w:val="18"/>
        <w:spacing w:before="312" w:after="156"/>
        <w:ind w:firstLine="482"/>
        <w:rPr>
          <w:sz w:val="24"/>
          <w:szCs w:val="24"/>
        </w:rPr>
      </w:pPr>
      <w:r>
        <w:rPr>
          <w:rFonts w:hint="eastAsia"/>
          <w:sz w:val="24"/>
          <w:szCs w:val="24"/>
        </w:rPr>
        <w:t>学校</w:t>
      </w:r>
      <w:r>
        <w:rPr>
          <w:sz w:val="24"/>
          <w:szCs w:val="24"/>
        </w:rPr>
        <w:t>201</w:t>
      </w:r>
      <w:r>
        <w:rPr>
          <w:rFonts w:hint="eastAsia"/>
          <w:sz w:val="24"/>
          <w:szCs w:val="24"/>
          <w:lang w:val="en-US" w:eastAsia="zh-CN"/>
        </w:rPr>
        <w:t>6</w:t>
      </w:r>
      <w:r>
        <w:rPr>
          <w:rFonts w:hint="eastAsia"/>
          <w:sz w:val="24"/>
          <w:szCs w:val="24"/>
        </w:rPr>
        <w:t>届毕业生就业率达</w:t>
      </w:r>
      <w:r>
        <w:rPr>
          <w:rFonts w:ascii="Times New Roman" w:hAnsi="Times New Roman"/>
          <w:sz w:val="24"/>
          <w:szCs w:val="24"/>
        </w:rPr>
        <w:t>98</w:t>
      </w:r>
      <w:r>
        <w:rPr>
          <w:rFonts w:hint="eastAsia" w:ascii="Times New Roman" w:hAnsi="Times New Roman"/>
          <w:sz w:val="24"/>
          <w:szCs w:val="24"/>
          <w:lang w:val="en-US" w:eastAsia="zh-CN"/>
        </w:rPr>
        <w:t>.50</w:t>
      </w:r>
      <w:r>
        <w:rPr>
          <w:rFonts w:ascii="Times New Roman" w:hAnsi="Times New Roman"/>
          <w:sz w:val="24"/>
          <w:szCs w:val="24"/>
        </w:rPr>
        <w:t>%</w:t>
      </w:r>
      <w:r>
        <w:rPr>
          <w:rFonts w:hint="eastAsia"/>
          <w:sz w:val="24"/>
          <w:szCs w:val="24"/>
        </w:rPr>
        <w:t>，基本实现充分就业。从具体就业形式来看，毕业生以签</w:t>
      </w:r>
      <w:r>
        <w:rPr>
          <w:rFonts w:hint="eastAsia"/>
          <w:sz w:val="24"/>
          <w:szCs w:val="24"/>
          <w:lang w:eastAsia="zh-CN"/>
        </w:rPr>
        <w:t>就业协议</w:t>
      </w:r>
      <w:r>
        <w:rPr>
          <w:rFonts w:hint="eastAsia"/>
          <w:sz w:val="24"/>
          <w:szCs w:val="24"/>
        </w:rPr>
        <w:t>形式就业为主，比例达</w:t>
      </w:r>
      <w:r>
        <w:rPr>
          <w:rFonts w:hint="default" w:ascii="Times New Roman" w:hAnsi="Times New Roman" w:cs="Times New Roman"/>
          <w:sz w:val="24"/>
          <w:szCs w:val="24"/>
          <w:lang w:val="en-US" w:eastAsia="zh-CN"/>
        </w:rPr>
        <w:t>87.07</w:t>
      </w:r>
      <w:r>
        <w:rPr>
          <w:rFonts w:ascii="Times New Roman" w:hAnsi="Times New Roman"/>
          <w:sz w:val="24"/>
          <w:szCs w:val="24"/>
        </w:rPr>
        <w:t xml:space="preserve"> %</w:t>
      </w:r>
    </w:p>
    <w:tbl>
      <w:tblPr>
        <w:tblStyle w:val="15"/>
        <w:tblW w:w="7650" w:type="dxa"/>
        <w:tblInd w:w="0" w:type="dxa"/>
        <w:tblBorders>
          <w:top w:val="single" w:color="96D1DE" w:sz="4" w:space="0"/>
          <w:left w:val="single" w:color="96D1DE" w:sz="4" w:space="0"/>
          <w:bottom w:val="single" w:color="96D1DE" w:sz="4" w:space="0"/>
          <w:right w:val="single" w:color="96D1DE" w:sz="4" w:space="0"/>
          <w:insideH w:val="single" w:color="96D1DE" w:sz="4" w:space="0"/>
          <w:insideV w:val="single" w:color="96D1DE" w:sz="4" w:space="0"/>
        </w:tblBorders>
        <w:tblLayout w:type="fixed"/>
        <w:tblCellMar>
          <w:top w:w="0" w:type="dxa"/>
          <w:left w:w="108" w:type="dxa"/>
          <w:bottom w:w="0" w:type="dxa"/>
          <w:right w:w="108" w:type="dxa"/>
        </w:tblCellMar>
      </w:tblPr>
      <w:tblGrid>
        <w:gridCol w:w="3096"/>
        <w:gridCol w:w="1518"/>
        <w:gridCol w:w="1518"/>
        <w:gridCol w:w="1518"/>
      </w:tblGrid>
      <w:tr>
        <w:tblPrEx>
          <w:tblBorders>
            <w:top w:val="single" w:color="96D1DE" w:sz="4" w:space="0"/>
            <w:left w:val="single" w:color="96D1DE" w:sz="4" w:space="0"/>
            <w:bottom w:val="single" w:color="96D1DE" w:sz="4" w:space="0"/>
            <w:right w:val="single" w:color="96D1DE" w:sz="4" w:space="0"/>
            <w:insideH w:val="single" w:color="96D1DE" w:sz="4" w:space="0"/>
            <w:insideV w:val="single" w:color="96D1DE" w:sz="4" w:space="0"/>
          </w:tblBorders>
          <w:tblLayout w:type="fixed"/>
          <w:tblCellMar>
            <w:top w:w="0" w:type="dxa"/>
            <w:left w:w="108" w:type="dxa"/>
            <w:bottom w:w="0" w:type="dxa"/>
            <w:right w:w="108" w:type="dxa"/>
          </w:tblCellMar>
        </w:tblPrEx>
        <w:trPr>
          <w:trHeight w:val="288" w:hRule="atLeast"/>
        </w:trPr>
        <w:tc>
          <w:tcPr>
            <w:tcW w:w="3096" w:type="dxa"/>
            <w:tcBorders>
              <w:top w:val="single" w:color="50B4C8" w:sz="4" w:space="0"/>
              <w:left w:val="single" w:color="50B4C8" w:sz="4" w:space="0"/>
              <w:bottom w:val="single" w:color="50B4C8" w:sz="4" w:space="0"/>
              <w:right w:val="nil"/>
            </w:tcBorders>
            <w:shd w:val="clear" w:color="auto" w:fill="50B4C8"/>
            <w:vAlign w:val="center"/>
          </w:tcPr>
          <w:p>
            <w:pPr>
              <w:spacing w:line="240" w:lineRule="auto"/>
              <w:ind w:firstLine="0" w:firstLineChars="0"/>
              <w:jc w:val="center"/>
              <w:rPr>
                <w:rFonts w:ascii="宋体" w:cs="宋体"/>
                <w:b/>
                <w:bCs/>
                <w:color w:val="FFFFFF"/>
                <w:sz w:val="22"/>
                <w:szCs w:val="22"/>
              </w:rPr>
            </w:pPr>
            <w:r>
              <w:rPr>
                <w:rFonts w:hint="eastAsia" w:ascii="宋体" w:hAnsi="宋体" w:cs="宋体"/>
                <w:bCs/>
                <w:color w:val="FFFFFF"/>
                <w:sz w:val="22"/>
                <w:szCs w:val="22"/>
              </w:rPr>
              <w:t>就业形式</w:t>
            </w:r>
          </w:p>
        </w:tc>
        <w:tc>
          <w:tcPr>
            <w:tcW w:w="1518" w:type="dxa"/>
            <w:tcBorders>
              <w:top w:val="single" w:color="50B4C8" w:sz="4" w:space="0"/>
              <w:left w:val="nil"/>
              <w:bottom w:val="single" w:color="50B4C8" w:sz="4" w:space="0"/>
              <w:right w:val="nil"/>
            </w:tcBorders>
            <w:shd w:val="clear" w:color="auto" w:fill="50B4C8"/>
            <w:vAlign w:val="center"/>
          </w:tcPr>
          <w:p>
            <w:pPr>
              <w:spacing w:line="240" w:lineRule="auto"/>
              <w:ind w:firstLine="0" w:firstLineChars="0"/>
              <w:jc w:val="center"/>
              <w:rPr>
                <w:rFonts w:ascii="宋体" w:cs="宋体"/>
                <w:b/>
                <w:bCs/>
                <w:color w:val="FFFFFF"/>
                <w:sz w:val="22"/>
                <w:szCs w:val="22"/>
              </w:rPr>
            </w:pPr>
            <w:r>
              <w:rPr>
                <w:rFonts w:hint="eastAsia" w:ascii="宋体" w:hAnsi="宋体" w:cs="宋体"/>
                <w:bCs/>
                <w:color w:val="FFFFFF"/>
                <w:sz w:val="22"/>
                <w:szCs w:val="22"/>
              </w:rPr>
              <w:t>人数</w:t>
            </w:r>
          </w:p>
        </w:tc>
        <w:tc>
          <w:tcPr>
            <w:tcW w:w="1518" w:type="dxa"/>
            <w:tcBorders>
              <w:top w:val="single" w:color="50B4C8" w:sz="4" w:space="0"/>
              <w:left w:val="nil"/>
              <w:bottom w:val="single" w:color="50B4C8" w:sz="4" w:space="0"/>
              <w:right w:val="nil"/>
            </w:tcBorders>
            <w:shd w:val="clear" w:color="auto" w:fill="50B4C8"/>
            <w:vAlign w:val="center"/>
          </w:tcPr>
          <w:p>
            <w:pPr>
              <w:spacing w:line="240" w:lineRule="auto"/>
              <w:ind w:firstLine="0" w:firstLineChars="0"/>
              <w:jc w:val="center"/>
              <w:rPr>
                <w:rFonts w:ascii="宋体" w:cs="宋体"/>
                <w:b/>
                <w:bCs/>
                <w:color w:val="FFFFFF"/>
                <w:sz w:val="22"/>
                <w:szCs w:val="22"/>
              </w:rPr>
            </w:pPr>
            <w:r>
              <w:rPr>
                <w:rFonts w:hint="eastAsia" w:ascii="宋体" w:hAnsi="宋体" w:cs="宋体"/>
                <w:bCs/>
                <w:color w:val="FFFFFF"/>
                <w:sz w:val="22"/>
                <w:szCs w:val="22"/>
              </w:rPr>
              <w:t>比例</w:t>
            </w:r>
            <w:r>
              <w:rPr>
                <w:rFonts w:ascii="宋体" w:hAnsi="宋体" w:cs="宋体"/>
                <w:bCs/>
                <w:color w:val="FFFFFF"/>
                <w:sz w:val="22"/>
                <w:szCs w:val="22"/>
              </w:rPr>
              <w:t>(%)</w:t>
            </w:r>
          </w:p>
        </w:tc>
        <w:tc>
          <w:tcPr>
            <w:tcW w:w="1518" w:type="dxa"/>
            <w:tcBorders>
              <w:top w:val="single" w:color="50B4C8" w:sz="4" w:space="0"/>
              <w:left w:val="nil"/>
              <w:bottom w:val="single" w:color="50B4C8" w:sz="4" w:space="0"/>
              <w:right w:val="single" w:color="50B4C8" w:sz="4" w:space="0"/>
            </w:tcBorders>
            <w:shd w:val="clear" w:color="auto" w:fill="50B4C8"/>
            <w:vAlign w:val="center"/>
          </w:tcPr>
          <w:p>
            <w:pPr>
              <w:spacing w:line="240" w:lineRule="auto"/>
              <w:ind w:firstLine="0" w:firstLineChars="0"/>
              <w:jc w:val="center"/>
              <w:rPr>
                <w:rFonts w:ascii="宋体" w:cs="宋体"/>
                <w:b/>
                <w:bCs/>
                <w:color w:val="FFFFFF"/>
                <w:sz w:val="22"/>
                <w:szCs w:val="22"/>
              </w:rPr>
            </w:pPr>
            <w:r>
              <w:rPr>
                <w:rFonts w:hint="eastAsia" w:ascii="宋体" w:hAnsi="宋体" w:cs="宋体"/>
                <w:bCs/>
                <w:color w:val="FFFFFF"/>
                <w:sz w:val="22"/>
                <w:szCs w:val="22"/>
              </w:rPr>
              <w:t>就业率（</w:t>
            </w:r>
            <w:r>
              <w:rPr>
                <w:rFonts w:ascii="宋体" w:hAnsi="宋体" w:cs="宋体"/>
                <w:bCs/>
                <w:color w:val="FFFFFF"/>
                <w:sz w:val="22"/>
                <w:szCs w:val="22"/>
              </w:rPr>
              <w:t>%</w:t>
            </w:r>
            <w:r>
              <w:rPr>
                <w:rFonts w:hint="eastAsia" w:ascii="宋体" w:hAnsi="宋体" w:cs="宋体"/>
                <w:bCs/>
                <w:color w:val="FFFFFF"/>
                <w:sz w:val="22"/>
                <w:szCs w:val="22"/>
              </w:rPr>
              <w:t>）</w:t>
            </w:r>
          </w:p>
        </w:tc>
      </w:tr>
      <w:tr>
        <w:tblPrEx>
          <w:tblBorders>
            <w:top w:val="single" w:color="96D1DE" w:sz="4" w:space="0"/>
            <w:left w:val="single" w:color="96D1DE" w:sz="4" w:space="0"/>
            <w:bottom w:val="single" w:color="96D1DE" w:sz="4" w:space="0"/>
            <w:right w:val="single" w:color="96D1DE" w:sz="4" w:space="0"/>
            <w:insideH w:val="single" w:color="96D1DE" w:sz="4" w:space="0"/>
            <w:insideV w:val="single" w:color="96D1DE" w:sz="4" w:space="0"/>
          </w:tblBorders>
          <w:tblLayout w:type="fixed"/>
          <w:tblCellMar>
            <w:top w:w="0" w:type="dxa"/>
            <w:left w:w="108" w:type="dxa"/>
            <w:bottom w:w="0" w:type="dxa"/>
            <w:right w:w="108" w:type="dxa"/>
          </w:tblCellMar>
        </w:tblPrEx>
        <w:trPr>
          <w:trHeight w:val="288" w:hRule="atLeast"/>
        </w:trPr>
        <w:tc>
          <w:tcPr>
            <w:tcW w:w="3096" w:type="dxa"/>
            <w:shd w:val="clear" w:color="auto" w:fill="DCEFF4"/>
            <w:vAlign w:val="center"/>
          </w:tcPr>
          <w:p>
            <w:pPr>
              <w:spacing w:line="240" w:lineRule="auto"/>
              <w:ind w:firstLine="0" w:firstLineChars="0"/>
              <w:jc w:val="center"/>
              <w:rPr>
                <w:rFonts w:ascii="宋体" w:cs="宋体"/>
                <w:b/>
                <w:bCs/>
                <w:color w:val="000000"/>
                <w:sz w:val="22"/>
                <w:szCs w:val="22"/>
              </w:rPr>
            </w:pPr>
            <w:r>
              <w:rPr>
                <w:rFonts w:hint="eastAsia" w:ascii="宋体" w:hAnsi="宋体" w:cs="宋体"/>
                <w:bCs/>
                <w:color w:val="000000"/>
                <w:sz w:val="22"/>
                <w:szCs w:val="22"/>
              </w:rPr>
              <w:t>签</w:t>
            </w:r>
            <w:r>
              <w:rPr>
                <w:rFonts w:hint="eastAsia" w:ascii="宋体" w:hAnsi="宋体" w:cs="宋体"/>
                <w:bCs/>
                <w:color w:val="000000"/>
                <w:sz w:val="22"/>
                <w:szCs w:val="22"/>
                <w:lang w:eastAsia="zh-CN"/>
              </w:rPr>
              <w:t>就业协议</w:t>
            </w:r>
            <w:r>
              <w:rPr>
                <w:rFonts w:hint="eastAsia" w:ascii="宋体" w:hAnsi="宋体" w:cs="宋体"/>
                <w:bCs/>
                <w:color w:val="000000"/>
                <w:sz w:val="22"/>
                <w:szCs w:val="22"/>
              </w:rPr>
              <w:t>形式就业</w:t>
            </w:r>
          </w:p>
        </w:tc>
        <w:tc>
          <w:tcPr>
            <w:tcW w:w="1518" w:type="dxa"/>
            <w:shd w:val="clear" w:color="auto" w:fill="DCEFF4"/>
            <w:vAlign w:val="center"/>
          </w:tcPr>
          <w:p>
            <w:pPr>
              <w:spacing w:line="240" w:lineRule="auto"/>
              <w:ind w:firstLine="0" w:firstLineChars="0"/>
              <w:jc w:val="center"/>
              <w:rPr>
                <w:rFonts w:hint="eastAsia" w:ascii="Times New Roman" w:hAnsi="Times New Roman" w:eastAsiaTheme="minorEastAsia"/>
                <w:color w:val="000000"/>
                <w:sz w:val="22"/>
                <w:szCs w:val="22"/>
                <w:lang w:eastAsia="zh-CN"/>
              </w:rPr>
            </w:pPr>
            <w:r>
              <w:rPr>
                <w:rFonts w:hint="eastAsia" w:ascii="Times New Roman" w:hAnsi="Times New Roman"/>
                <w:color w:val="000000"/>
                <w:sz w:val="22"/>
                <w:szCs w:val="22"/>
                <w:lang w:val="en-US" w:eastAsia="zh-CN"/>
              </w:rPr>
              <w:t>2377</w:t>
            </w:r>
          </w:p>
        </w:tc>
        <w:tc>
          <w:tcPr>
            <w:tcW w:w="1518" w:type="dxa"/>
            <w:shd w:val="clear" w:color="auto" w:fill="DCEFF4"/>
            <w:vAlign w:val="center"/>
          </w:tcPr>
          <w:p>
            <w:pPr>
              <w:spacing w:line="240" w:lineRule="auto"/>
              <w:ind w:firstLine="0" w:firstLineChars="0"/>
              <w:jc w:val="center"/>
              <w:rPr>
                <w:rFonts w:hint="eastAsia" w:ascii="Times New Roman" w:hAnsi="Times New Roman" w:eastAsiaTheme="minorEastAsia"/>
                <w:color w:val="000000"/>
                <w:sz w:val="22"/>
                <w:szCs w:val="22"/>
                <w:lang w:eastAsia="zh-CN"/>
              </w:rPr>
            </w:pPr>
            <w:r>
              <w:rPr>
                <w:rFonts w:hint="eastAsia" w:ascii="Times New Roman" w:hAnsi="Times New Roman"/>
                <w:color w:val="000000"/>
                <w:sz w:val="22"/>
                <w:szCs w:val="22"/>
                <w:lang w:val="en-US" w:eastAsia="zh-CN"/>
              </w:rPr>
              <w:t>87.07</w:t>
            </w:r>
          </w:p>
        </w:tc>
        <w:tc>
          <w:tcPr>
            <w:tcW w:w="1518" w:type="dxa"/>
            <w:vMerge w:val="restart"/>
            <w:shd w:val="clear" w:color="auto" w:fill="DCEFF4"/>
            <w:vAlign w:val="center"/>
          </w:tcPr>
          <w:p>
            <w:pPr>
              <w:spacing w:line="240" w:lineRule="auto"/>
              <w:ind w:firstLine="0" w:firstLineChars="0"/>
              <w:jc w:val="center"/>
              <w:rPr>
                <w:rFonts w:hint="eastAsia" w:ascii="Times New Roman" w:hAnsi="Times New Roman" w:eastAsiaTheme="minorEastAsia"/>
                <w:color w:val="000000"/>
                <w:sz w:val="22"/>
                <w:szCs w:val="22"/>
                <w:lang w:eastAsia="zh-CN"/>
              </w:rPr>
            </w:pPr>
            <w:r>
              <w:rPr>
                <w:rFonts w:hint="eastAsia" w:ascii="Times New Roman" w:hAnsi="Times New Roman"/>
                <w:color w:val="000000"/>
                <w:sz w:val="22"/>
                <w:szCs w:val="22"/>
                <w:lang w:val="en-US" w:eastAsia="zh-CN"/>
              </w:rPr>
              <w:t>98.50</w:t>
            </w:r>
          </w:p>
        </w:tc>
      </w:tr>
      <w:tr>
        <w:tblPrEx>
          <w:tblBorders>
            <w:top w:val="single" w:color="96D1DE" w:sz="4" w:space="0"/>
            <w:left w:val="single" w:color="96D1DE" w:sz="4" w:space="0"/>
            <w:bottom w:val="single" w:color="96D1DE" w:sz="4" w:space="0"/>
            <w:right w:val="single" w:color="96D1DE" w:sz="4" w:space="0"/>
            <w:insideH w:val="single" w:color="96D1DE" w:sz="4" w:space="0"/>
            <w:insideV w:val="single" w:color="96D1DE" w:sz="4" w:space="0"/>
          </w:tblBorders>
          <w:tblLayout w:type="fixed"/>
          <w:tblCellMar>
            <w:top w:w="0" w:type="dxa"/>
            <w:left w:w="108" w:type="dxa"/>
            <w:bottom w:w="0" w:type="dxa"/>
            <w:right w:w="108" w:type="dxa"/>
          </w:tblCellMar>
        </w:tblPrEx>
        <w:trPr>
          <w:trHeight w:val="288" w:hRule="atLeast"/>
        </w:trPr>
        <w:tc>
          <w:tcPr>
            <w:tcW w:w="3096" w:type="dxa"/>
            <w:vAlign w:val="center"/>
          </w:tcPr>
          <w:p>
            <w:pPr>
              <w:spacing w:line="240" w:lineRule="auto"/>
              <w:ind w:firstLine="0" w:firstLineChars="0"/>
              <w:jc w:val="center"/>
              <w:rPr>
                <w:rFonts w:hint="eastAsia" w:ascii="宋体" w:cs="宋体" w:eastAsiaTheme="minorEastAsia"/>
                <w:b/>
                <w:bCs/>
                <w:color w:val="000000"/>
                <w:sz w:val="22"/>
                <w:szCs w:val="22"/>
                <w:lang w:eastAsia="zh-CN"/>
              </w:rPr>
            </w:pPr>
            <w:r>
              <w:rPr>
                <w:rFonts w:hint="eastAsia" w:ascii="宋体" w:hAnsi="宋体" w:cs="宋体"/>
                <w:bCs/>
                <w:color w:val="000000"/>
                <w:sz w:val="22"/>
                <w:szCs w:val="22"/>
                <w:lang w:eastAsia="zh-CN"/>
              </w:rPr>
              <w:t>签劳动合同形式就业</w:t>
            </w:r>
          </w:p>
        </w:tc>
        <w:tc>
          <w:tcPr>
            <w:tcW w:w="1518" w:type="dxa"/>
            <w:vAlign w:val="center"/>
          </w:tcPr>
          <w:p>
            <w:pPr>
              <w:spacing w:line="240" w:lineRule="auto"/>
              <w:ind w:firstLine="0" w:firstLineChars="0"/>
              <w:jc w:val="center"/>
              <w:rPr>
                <w:rFonts w:hint="eastAsia" w:ascii="Times New Roman" w:hAnsi="Times New Roman" w:eastAsiaTheme="minorEastAsia"/>
                <w:color w:val="000000"/>
                <w:sz w:val="22"/>
                <w:szCs w:val="22"/>
                <w:lang w:val="en-US" w:eastAsia="zh-CN"/>
              </w:rPr>
            </w:pPr>
            <w:r>
              <w:rPr>
                <w:rFonts w:hint="eastAsia" w:ascii="Times New Roman" w:hAnsi="Times New Roman"/>
                <w:color w:val="000000"/>
                <w:sz w:val="22"/>
                <w:szCs w:val="22"/>
                <w:lang w:val="en-US" w:eastAsia="zh-CN"/>
              </w:rPr>
              <w:t>106</w:t>
            </w:r>
          </w:p>
        </w:tc>
        <w:tc>
          <w:tcPr>
            <w:tcW w:w="1518" w:type="dxa"/>
            <w:vAlign w:val="center"/>
          </w:tcPr>
          <w:p>
            <w:pPr>
              <w:spacing w:line="240" w:lineRule="auto"/>
              <w:ind w:firstLine="0" w:firstLineChars="0"/>
              <w:jc w:val="center"/>
              <w:rPr>
                <w:rFonts w:hint="eastAsia" w:ascii="Times New Roman" w:hAnsi="Times New Roman" w:eastAsiaTheme="minorEastAsia"/>
                <w:color w:val="000000"/>
                <w:sz w:val="22"/>
                <w:szCs w:val="22"/>
                <w:lang w:eastAsia="zh-CN"/>
              </w:rPr>
            </w:pPr>
            <w:r>
              <w:rPr>
                <w:rFonts w:hint="eastAsia" w:ascii="Times New Roman" w:hAnsi="Times New Roman"/>
                <w:color w:val="000000"/>
                <w:sz w:val="22"/>
                <w:szCs w:val="22"/>
                <w:lang w:val="en-US" w:eastAsia="zh-CN"/>
              </w:rPr>
              <w:t>3.88</w:t>
            </w:r>
          </w:p>
        </w:tc>
        <w:tc>
          <w:tcPr>
            <w:tcW w:w="1518" w:type="dxa"/>
            <w:vMerge w:val="continue"/>
            <w:vAlign w:val="center"/>
          </w:tcPr>
          <w:p>
            <w:pPr>
              <w:spacing w:line="240" w:lineRule="auto"/>
              <w:ind w:firstLine="0" w:firstLineChars="0"/>
              <w:jc w:val="center"/>
              <w:rPr>
                <w:rFonts w:ascii="宋体" w:cs="宋体"/>
                <w:color w:val="000000"/>
                <w:sz w:val="22"/>
                <w:szCs w:val="22"/>
              </w:rPr>
            </w:pPr>
          </w:p>
        </w:tc>
      </w:tr>
      <w:tr>
        <w:tblPrEx>
          <w:tblBorders>
            <w:top w:val="single" w:color="96D1DE" w:sz="4" w:space="0"/>
            <w:left w:val="single" w:color="96D1DE" w:sz="4" w:space="0"/>
            <w:bottom w:val="single" w:color="96D1DE" w:sz="4" w:space="0"/>
            <w:right w:val="single" w:color="96D1DE" w:sz="4" w:space="0"/>
            <w:insideH w:val="single" w:color="96D1DE" w:sz="4" w:space="0"/>
            <w:insideV w:val="single" w:color="96D1DE" w:sz="4" w:space="0"/>
          </w:tblBorders>
          <w:tblLayout w:type="fixed"/>
          <w:tblCellMar>
            <w:top w:w="0" w:type="dxa"/>
            <w:left w:w="108" w:type="dxa"/>
            <w:bottom w:w="0" w:type="dxa"/>
            <w:right w:w="108" w:type="dxa"/>
          </w:tblCellMar>
        </w:tblPrEx>
        <w:trPr>
          <w:trHeight w:val="288" w:hRule="atLeast"/>
        </w:trPr>
        <w:tc>
          <w:tcPr>
            <w:tcW w:w="3096" w:type="dxa"/>
            <w:vAlign w:val="center"/>
          </w:tcPr>
          <w:p>
            <w:pPr>
              <w:spacing w:line="240" w:lineRule="auto"/>
              <w:ind w:firstLine="0" w:firstLineChars="0"/>
              <w:jc w:val="center"/>
              <w:rPr>
                <w:rFonts w:hint="eastAsia" w:ascii="宋体" w:hAnsi="宋体" w:cs="宋体"/>
                <w:bCs/>
                <w:color w:val="000000"/>
                <w:sz w:val="22"/>
                <w:szCs w:val="22"/>
                <w:lang w:eastAsia="zh-CN"/>
              </w:rPr>
            </w:pPr>
            <w:r>
              <w:rPr>
                <w:rFonts w:hint="eastAsia" w:ascii="宋体" w:hAnsi="宋体" w:cs="宋体"/>
                <w:bCs/>
                <w:color w:val="000000"/>
                <w:sz w:val="22"/>
                <w:szCs w:val="22"/>
                <w:lang w:eastAsia="zh-CN"/>
              </w:rPr>
              <w:t>其他录用形式</w:t>
            </w:r>
          </w:p>
        </w:tc>
        <w:tc>
          <w:tcPr>
            <w:tcW w:w="1518" w:type="dxa"/>
            <w:vAlign w:val="center"/>
          </w:tcPr>
          <w:p>
            <w:pPr>
              <w:spacing w:line="240" w:lineRule="auto"/>
              <w:ind w:firstLine="0" w:firstLineChars="0"/>
              <w:jc w:val="center"/>
              <w:rPr>
                <w:rFonts w:hint="eastAsia" w:ascii="Times New Roman" w:hAnsi="Times New Roman"/>
                <w:color w:val="000000"/>
                <w:sz w:val="22"/>
                <w:szCs w:val="22"/>
                <w:lang w:val="en-US" w:eastAsia="zh-CN"/>
              </w:rPr>
            </w:pPr>
            <w:r>
              <w:rPr>
                <w:rFonts w:hint="eastAsia" w:ascii="Times New Roman" w:hAnsi="Times New Roman"/>
                <w:color w:val="000000"/>
                <w:sz w:val="22"/>
                <w:szCs w:val="22"/>
                <w:lang w:val="en-US" w:eastAsia="zh-CN"/>
              </w:rPr>
              <w:t>45</w:t>
            </w:r>
          </w:p>
        </w:tc>
        <w:tc>
          <w:tcPr>
            <w:tcW w:w="1518" w:type="dxa"/>
            <w:vAlign w:val="center"/>
          </w:tcPr>
          <w:p>
            <w:pPr>
              <w:spacing w:line="240" w:lineRule="auto"/>
              <w:ind w:firstLine="0" w:firstLineChars="0"/>
              <w:jc w:val="center"/>
              <w:rPr>
                <w:rFonts w:hint="eastAsia" w:ascii="Times New Roman" w:hAnsi="Times New Roman" w:eastAsiaTheme="minorEastAsia"/>
                <w:color w:val="000000"/>
                <w:sz w:val="22"/>
                <w:szCs w:val="22"/>
                <w:lang w:val="en-US" w:eastAsia="zh-CN"/>
              </w:rPr>
            </w:pPr>
            <w:r>
              <w:rPr>
                <w:rFonts w:hint="eastAsia" w:ascii="Times New Roman" w:hAnsi="Times New Roman"/>
                <w:color w:val="000000"/>
                <w:sz w:val="22"/>
                <w:szCs w:val="22"/>
                <w:lang w:val="en-US" w:eastAsia="zh-CN"/>
              </w:rPr>
              <w:t>1.65</w:t>
            </w:r>
          </w:p>
        </w:tc>
        <w:tc>
          <w:tcPr>
            <w:tcW w:w="1518" w:type="dxa"/>
            <w:vMerge w:val="continue"/>
            <w:vAlign w:val="center"/>
          </w:tcPr>
          <w:p>
            <w:pPr>
              <w:spacing w:line="240" w:lineRule="auto"/>
              <w:ind w:firstLine="0" w:firstLineChars="0"/>
              <w:jc w:val="center"/>
              <w:rPr>
                <w:rFonts w:ascii="宋体" w:cs="宋体"/>
                <w:color w:val="000000"/>
                <w:sz w:val="22"/>
                <w:szCs w:val="22"/>
              </w:rPr>
            </w:pPr>
          </w:p>
        </w:tc>
      </w:tr>
      <w:tr>
        <w:tblPrEx>
          <w:tblBorders>
            <w:top w:val="single" w:color="96D1DE" w:sz="4" w:space="0"/>
            <w:left w:val="single" w:color="96D1DE" w:sz="4" w:space="0"/>
            <w:bottom w:val="single" w:color="96D1DE" w:sz="4" w:space="0"/>
            <w:right w:val="single" w:color="96D1DE" w:sz="4" w:space="0"/>
            <w:insideH w:val="single" w:color="96D1DE" w:sz="4" w:space="0"/>
            <w:insideV w:val="single" w:color="96D1DE" w:sz="4" w:space="0"/>
          </w:tblBorders>
          <w:tblLayout w:type="fixed"/>
          <w:tblCellMar>
            <w:top w:w="0" w:type="dxa"/>
            <w:left w:w="108" w:type="dxa"/>
            <w:bottom w:w="0" w:type="dxa"/>
            <w:right w:w="108" w:type="dxa"/>
          </w:tblCellMar>
        </w:tblPrEx>
        <w:trPr>
          <w:trHeight w:val="288" w:hRule="atLeast"/>
        </w:trPr>
        <w:tc>
          <w:tcPr>
            <w:tcW w:w="3096" w:type="dxa"/>
            <w:shd w:val="clear" w:color="auto" w:fill="DCEFF4"/>
            <w:vAlign w:val="center"/>
          </w:tcPr>
          <w:p>
            <w:pPr>
              <w:spacing w:line="240" w:lineRule="auto"/>
              <w:ind w:firstLine="0" w:firstLineChars="0"/>
              <w:jc w:val="center"/>
              <w:rPr>
                <w:rFonts w:ascii="宋体" w:cs="宋体"/>
                <w:b/>
                <w:bCs/>
                <w:color w:val="000000"/>
                <w:sz w:val="22"/>
                <w:szCs w:val="22"/>
              </w:rPr>
            </w:pPr>
            <w:r>
              <w:rPr>
                <w:rFonts w:hint="eastAsia" w:ascii="宋体" w:hAnsi="宋体" w:cs="宋体"/>
                <w:bCs/>
                <w:color w:val="000000"/>
                <w:sz w:val="22"/>
                <w:szCs w:val="22"/>
              </w:rPr>
              <w:t>升学</w:t>
            </w:r>
          </w:p>
        </w:tc>
        <w:tc>
          <w:tcPr>
            <w:tcW w:w="1518" w:type="dxa"/>
            <w:shd w:val="clear" w:color="auto" w:fill="DCEFF4"/>
            <w:vAlign w:val="center"/>
          </w:tcPr>
          <w:p>
            <w:pPr>
              <w:spacing w:line="240" w:lineRule="auto"/>
              <w:ind w:firstLine="0" w:firstLineChars="0"/>
              <w:jc w:val="center"/>
              <w:rPr>
                <w:rFonts w:hint="eastAsia" w:ascii="Times New Roman" w:hAnsi="Times New Roman" w:eastAsiaTheme="minorEastAsia"/>
                <w:color w:val="000000"/>
                <w:sz w:val="22"/>
                <w:szCs w:val="22"/>
                <w:lang w:eastAsia="zh-CN"/>
              </w:rPr>
            </w:pPr>
            <w:r>
              <w:rPr>
                <w:rFonts w:hint="eastAsia" w:ascii="Times New Roman" w:hAnsi="Times New Roman"/>
                <w:color w:val="000000"/>
                <w:sz w:val="22"/>
                <w:szCs w:val="22"/>
                <w:lang w:val="en-US" w:eastAsia="zh-CN"/>
              </w:rPr>
              <w:t>135</w:t>
            </w:r>
          </w:p>
        </w:tc>
        <w:tc>
          <w:tcPr>
            <w:tcW w:w="1518" w:type="dxa"/>
            <w:shd w:val="clear" w:color="auto" w:fill="DCEFF4"/>
            <w:vAlign w:val="center"/>
          </w:tcPr>
          <w:p>
            <w:pPr>
              <w:spacing w:line="240" w:lineRule="auto"/>
              <w:ind w:firstLine="0" w:firstLineChars="0"/>
              <w:jc w:val="center"/>
              <w:rPr>
                <w:rFonts w:ascii="Times New Roman" w:hAnsi="Times New Roman"/>
                <w:color w:val="000000"/>
                <w:sz w:val="22"/>
                <w:szCs w:val="22"/>
              </w:rPr>
            </w:pPr>
            <w:r>
              <w:rPr>
                <w:rFonts w:ascii="Times New Roman" w:hAnsi="Times New Roman"/>
                <w:color w:val="000000"/>
                <w:sz w:val="22"/>
                <w:szCs w:val="22"/>
              </w:rPr>
              <w:t>4.</w:t>
            </w:r>
            <w:r>
              <w:rPr>
                <w:rFonts w:hint="eastAsia" w:ascii="Times New Roman" w:hAnsi="Times New Roman"/>
                <w:color w:val="000000"/>
                <w:sz w:val="22"/>
                <w:szCs w:val="22"/>
                <w:lang w:val="en-US" w:eastAsia="zh-CN"/>
              </w:rPr>
              <w:t>95</w:t>
            </w:r>
          </w:p>
        </w:tc>
        <w:tc>
          <w:tcPr>
            <w:tcW w:w="1518" w:type="dxa"/>
            <w:vMerge w:val="continue"/>
            <w:shd w:val="clear" w:color="auto" w:fill="DCEFF4"/>
            <w:vAlign w:val="center"/>
          </w:tcPr>
          <w:p>
            <w:pPr>
              <w:spacing w:line="240" w:lineRule="auto"/>
              <w:ind w:firstLine="0" w:firstLineChars="0"/>
              <w:jc w:val="center"/>
              <w:rPr>
                <w:rFonts w:ascii="宋体" w:cs="宋体"/>
                <w:color w:val="000000"/>
                <w:sz w:val="22"/>
                <w:szCs w:val="22"/>
              </w:rPr>
            </w:pPr>
          </w:p>
        </w:tc>
      </w:tr>
      <w:tr>
        <w:tblPrEx>
          <w:tblBorders>
            <w:top w:val="single" w:color="96D1DE" w:sz="4" w:space="0"/>
            <w:left w:val="single" w:color="96D1DE" w:sz="4" w:space="0"/>
            <w:bottom w:val="single" w:color="96D1DE" w:sz="4" w:space="0"/>
            <w:right w:val="single" w:color="96D1DE" w:sz="4" w:space="0"/>
            <w:insideH w:val="single" w:color="96D1DE" w:sz="4" w:space="0"/>
            <w:insideV w:val="single" w:color="96D1DE" w:sz="4" w:space="0"/>
          </w:tblBorders>
          <w:tblLayout w:type="fixed"/>
          <w:tblCellMar>
            <w:top w:w="0" w:type="dxa"/>
            <w:left w:w="108" w:type="dxa"/>
            <w:bottom w:w="0" w:type="dxa"/>
            <w:right w:w="108" w:type="dxa"/>
          </w:tblCellMar>
        </w:tblPrEx>
        <w:trPr>
          <w:trHeight w:val="288" w:hRule="atLeast"/>
        </w:trPr>
        <w:tc>
          <w:tcPr>
            <w:tcW w:w="3096" w:type="dxa"/>
            <w:vAlign w:val="center"/>
          </w:tcPr>
          <w:p>
            <w:pPr>
              <w:spacing w:line="240" w:lineRule="auto"/>
              <w:ind w:firstLine="0" w:firstLineChars="0"/>
              <w:jc w:val="center"/>
              <w:rPr>
                <w:rFonts w:ascii="宋体" w:cs="宋体"/>
                <w:b/>
                <w:bCs/>
                <w:color w:val="000000"/>
                <w:sz w:val="22"/>
                <w:szCs w:val="22"/>
              </w:rPr>
            </w:pPr>
            <w:r>
              <w:rPr>
                <w:rFonts w:hint="eastAsia" w:ascii="宋体" w:hAnsi="宋体" w:cs="宋体"/>
                <w:bCs/>
                <w:color w:val="000000"/>
                <w:sz w:val="22"/>
                <w:szCs w:val="22"/>
              </w:rPr>
              <w:t>自主创业</w:t>
            </w:r>
          </w:p>
        </w:tc>
        <w:tc>
          <w:tcPr>
            <w:tcW w:w="1518" w:type="dxa"/>
            <w:vAlign w:val="center"/>
          </w:tcPr>
          <w:p>
            <w:pPr>
              <w:spacing w:line="240" w:lineRule="auto"/>
              <w:ind w:firstLine="0" w:firstLineChars="0"/>
              <w:jc w:val="center"/>
              <w:rPr>
                <w:rFonts w:hint="eastAsia" w:ascii="Times New Roman" w:hAnsi="Times New Roman" w:eastAsiaTheme="minorEastAsia"/>
                <w:color w:val="000000"/>
                <w:sz w:val="22"/>
                <w:szCs w:val="22"/>
                <w:lang w:eastAsia="zh-CN"/>
              </w:rPr>
            </w:pPr>
            <w:r>
              <w:rPr>
                <w:rFonts w:hint="eastAsia" w:ascii="Times New Roman" w:hAnsi="Times New Roman"/>
                <w:color w:val="000000"/>
                <w:sz w:val="22"/>
                <w:szCs w:val="22"/>
                <w:lang w:val="en-US" w:eastAsia="zh-CN"/>
              </w:rPr>
              <w:t>5</w:t>
            </w:r>
          </w:p>
        </w:tc>
        <w:tc>
          <w:tcPr>
            <w:tcW w:w="1518" w:type="dxa"/>
            <w:vAlign w:val="center"/>
          </w:tcPr>
          <w:p>
            <w:pPr>
              <w:spacing w:line="240" w:lineRule="auto"/>
              <w:ind w:firstLine="0" w:firstLineChars="0"/>
              <w:jc w:val="center"/>
              <w:rPr>
                <w:rFonts w:hint="eastAsia" w:ascii="Times New Roman" w:hAnsi="Times New Roman" w:eastAsiaTheme="minorEastAsia"/>
                <w:color w:val="000000"/>
                <w:sz w:val="22"/>
                <w:szCs w:val="22"/>
                <w:lang w:eastAsia="zh-CN"/>
              </w:rPr>
            </w:pPr>
            <w:r>
              <w:rPr>
                <w:rFonts w:hint="eastAsia" w:ascii="Times New Roman" w:hAnsi="Times New Roman"/>
                <w:color w:val="000000"/>
                <w:sz w:val="22"/>
                <w:szCs w:val="22"/>
                <w:lang w:val="en-US" w:eastAsia="zh-CN"/>
              </w:rPr>
              <w:t>0.18</w:t>
            </w:r>
          </w:p>
        </w:tc>
        <w:tc>
          <w:tcPr>
            <w:tcW w:w="1518" w:type="dxa"/>
            <w:vMerge w:val="continue"/>
            <w:vAlign w:val="center"/>
          </w:tcPr>
          <w:p>
            <w:pPr>
              <w:spacing w:line="240" w:lineRule="auto"/>
              <w:ind w:firstLine="0" w:firstLineChars="0"/>
              <w:jc w:val="center"/>
              <w:rPr>
                <w:rFonts w:ascii="宋体" w:cs="宋体"/>
                <w:color w:val="000000"/>
                <w:sz w:val="22"/>
                <w:szCs w:val="22"/>
              </w:rPr>
            </w:pPr>
          </w:p>
        </w:tc>
      </w:tr>
      <w:tr>
        <w:tblPrEx>
          <w:tblBorders>
            <w:top w:val="single" w:color="96D1DE" w:sz="4" w:space="0"/>
            <w:left w:val="single" w:color="96D1DE" w:sz="4" w:space="0"/>
            <w:bottom w:val="single" w:color="96D1DE" w:sz="4" w:space="0"/>
            <w:right w:val="single" w:color="96D1DE" w:sz="4" w:space="0"/>
            <w:insideH w:val="single" w:color="96D1DE" w:sz="4" w:space="0"/>
            <w:insideV w:val="single" w:color="96D1DE" w:sz="4" w:space="0"/>
          </w:tblBorders>
          <w:tblLayout w:type="fixed"/>
          <w:tblCellMar>
            <w:top w:w="0" w:type="dxa"/>
            <w:left w:w="108" w:type="dxa"/>
            <w:bottom w:w="0" w:type="dxa"/>
            <w:right w:w="108" w:type="dxa"/>
          </w:tblCellMar>
        </w:tblPrEx>
        <w:trPr>
          <w:trHeight w:val="288" w:hRule="atLeast"/>
        </w:trPr>
        <w:tc>
          <w:tcPr>
            <w:tcW w:w="3096" w:type="dxa"/>
            <w:shd w:val="clear" w:color="auto" w:fill="DCEFF4"/>
            <w:vAlign w:val="center"/>
          </w:tcPr>
          <w:p>
            <w:pPr>
              <w:spacing w:line="240" w:lineRule="auto"/>
              <w:ind w:firstLine="0" w:firstLineChars="0"/>
              <w:jc w:val="center"/>
              <w:rPr>
                <w:rFonts w:hint="eastAsia" w:ascii="宋体" w:cs="宋体" w:eastAsiaTheme="minorEastAsia"/>
                <w:b/>
                <w:bCs/>
                <w:color w:val="000000"/>
                <w:sz w:val="22"/>
                <w:szCs w:val="22"/>
                <w:lang w:eastAsia="zh-CN"/>
              </w:rPr>
            </w:pPr>
            <w:r>
              <w:rPr>
                <w:rFonts w:hint="eastAsia" w:ascii="宋体" w:hAnsi="宋体" w:cs="宋体"/>
                <w:bCs/>
                <w:color w:val="000000"/>
                <w:sz w:val="22"/>
                <w:szCs w:val="22"/>
                <w:lang w:eastAsia="zh-CN"/>
              </w:rPr>
              <w:t>应征义务兵</w:t>
            </w:r>
          </w:p>
        </w:tc>
        <w:tc>
          <w:tcPr>
            <w:tcW w:w="1518" w:type="dxa"/>
            <w:shd w:val="clear" w:color="auto" w:fill="DCEFF4"/>
            <w:vAlign w:val="center"/>
          </w:tcPr>
          <w:p>
            <w:pPr>
              <w:spacing w:line="240" w:lineRule="auto"/>
              <w:ind w:firstLine="0" w:firstLineChars="0"/>
              <w:jc w:val="center"/>
              <w:rPr>
                <w:rFonts w:hint="eastAsia" w:ascii="Times New Roman" w:hAnsi="Times New Roman" w:eastAsiaTheme="minorEastAsia"/>
                <w:color w:val="000000"/>
                <w:sz w:val="22"/>
                <w:szCs w:val="22"/>
                <w:lang w:eastAsia="zh-CN"/>
              </w:rPr>
            </w:pPr>
            <w:r>
              <w:rPr>
                <w:rFonts w:hint="eastAsia" w:ascii="Times New Roman" w:hAnsi="Times New Roman"/>
                <w:color w:val="000000"/>
                <w:sz w:val="22"/>
                <w:szCs w:val="22"/>
                <w:lang w:val="en-US" w:eastAsia="zh-CN"/>
              </w:rPr>
              <w:t>21</w:t>
            </w:r>
          </w:p>
        </w:tc>
        <w:tc>
          <w:tcPr>
            <w:tcW w:w="1518" w:type="dxa"/>
            <w:shd w:val="clear" w:color="auto" w:fill="DCEFF4"/>
            <w:vAlign w:val="center"/>
          </w:tcPr>
          <w:p>
            <w:pPr>
              <w:spacing w:line="240" w:lineRule="auto"/>
              <w:ind w:firstLine="0" w:firstLineChars="0"/>
              <w:jc w:val="center"/>
              <w:rPr>
                <w:rFonts w:ascii="Times New Roman" w:hAnsi="Times New Roman"/>
                <w:color w:val="000000"/>
                <w:sz w:val="22"/>
                <w:szCs w:val="22"/>
              </w:rPr>
            </w:pPr>
            <w:r>
              <w:rPr>
                <w:rFonts w:ascii="Times New Roman" w:hAnsi="Times New Roman"/>
                <w:color w:val="000000"/>
                <w:sz w:val="22"/>
                <w:szCs w:val="22"/>
              </w:rPr>
              <w:t>0.</w:t>
            </w:r>
            <w:r>
              <w:rPr>
                <w:rFonts w:hint="eastAsia" w:ascii="Times New Roman" w:hAnsi="Times New Roman"/>
                <w:color w:val="000000"/>
                <w:sz w:val="22"/>
                <w:szCs w:val="22"/>
                <w:lang w:val="en-US" w:eastAsia="zh-CN"/>
              </w:rPr>
              <w:t>77</w:t>
            </w:r>
          </w:p>
        </w:tc>
        <w:tc>
          <w:tcPr>
            <w:tcW w:w="1518" w:type="dxa"/>
            <w:vMerge w:val="continue"/>
            <w:shd w:val="clear" w:color="auto" w:fill="DCEFF4"/>
            <w:vAlign w:val="center"/>
          </w:tcPr>
          <w:p>
            <w:pPr>
              <w:spacing w:line="240" w:lineRule="auto"/>
              <w:ind w:firstLine="0" w:firstLineChars="0"/>
              <w:jc w:val="center"/>
              <w:rPr>
                <w:rFonts w:ascii="宋体" w:cs="宋体"/>
                <w:color w:val="000000"/>
                <w:sz w:val="22"/>
                <w:szCs w:val="22"/>
              </w:rPr>
            </w:pPr>
          </w:p>
        </w:tc>
      </w:tr>
      <w:tr>
        <w:tblPrEx>
          <w:tblBorders>
            <w:top w:val="single" w:color="96D1DE" w:sz="4" w:space="0"/>
            <w:left w:val="single" w:color="96D1DE" w:sz="4" w:space="0"/>
            <w:bottom w:val="single" w:color="96D1DE" w:sz="4" w:space="0"/>
            <w:right w:val="single" w:color="96D1DE" w:sz="4" w:space="0"/>
            <w:insideH w:val="single" w:color="96D1DE" w:sz="4" w:space="0"/>
            <w:insideV w:val="single" w:color="96D1DE" w:sz="4" w:space="0"/>
          </w:tblBorders>
          <w:tblLayout w:type="fixed"/>
          <w:tblCellMar>
            <w:top w:w="0" w:type="dxa"/>
            <w:left w:w="108" w:type="dxa"/>
            <w:bottom w:w="0" w:type="dxa"/>
            <w:right w:w="108" w:type="dxa"/>
          </w:tblCellMar>
        </w:tblPrEx>
        <w:trPr>
          <w:trHeight w:val="288" w:hRule="atLeast"/>
        </w:trPr>
        <w:tc>
          <w:tcPr>
            <w:tcW w:w="3096" w:type="dxa"/>
            <w:vAlign w:val="center"/>
          </w:tcPr>
          <w:p>
            <w:pPr>
              <w:spacing w:line="240" w:lineRule="auto"/>
              <w:ind w:firstLine="0" w:firstLineChars="0"/>
              <w:jc w:val="center"/>
              <w:rPr>
                <w:rFonts w:ascii="宋体" w:cs="宋体"/>
                <w:b/>
                <w:bCs/>
                <w:color w:val="000000"/>
                <w:sz w:val="22"/>
                <w:szCs w:val="22"/>
              </w:rPr>
            </w:pPr>
            <w:r>
              <w:rPr>
                <w:rFonts w:hint="eastAsia" w:ascii="宋体" w:hAnsi="宋体" w:cs="宋体"/>
                <w:bCs/>
                <w:color w:val="000000"/>
                <w:sz w:val="22"/>
                <w:szCs w:val="22"/>
              </w:rPr>
              <w:t>未就业</w:t>
            </w:r>
          </w:p>
        </w:tc>
        <w:tc>
          <w:tcPr>
            <w:tcW w:w="1518" w:type="dxa"/>
            <w:vAlign w:val="center"/>
          </w:tcPr>
          <w:p>
            <w:pPr>
              <w:spacing w:line="240" w:lineRule="auto"/>
              <w:ind w:firstLine="0" w:firstLineChars="0"/>
              <w:jc w:val="center"/>
              <w:rPr>
                <w:rFonts w:hint="eastAsia" w:ascii="Times New Roman" w:hAnsi="Times New Roman" w:eastAsiaTheme="minorEastAsia"/>
                <w:color w:val="000000"/>
                <w:sz w:val="22"/>
                <w:szCs w:val="22"/>
                <w:lang w:eastAsia="zh-CN"/>
              </w:rPr>
            </w:pPr>
            <w:r>
              <w:rPr>
                <w:rFonts w:hint="eastAsia" w:ascii="Times New Roman" w:hAnsi="Times New Roman"/>
                <w:color w:val="000000"/>
                <w:sz w:val="22"/>
                <w:szCs w:val="22"/>
                <w:lang w:val="en-US" w:eastAsia="zh-CN"/>
              </w:rPr>
              <w:t>41</w:t>
            </w:r>
          </w:p>
        </w:tc>
        <w:tc>
          <w:tcPr>
            <w:tcW w:w="1518" w:type="dxa"/>
            <w:vAlign w:val="center"/>
          </w:tcPr>
          <w:p>
            <w:pPr>
              <w:spacing w:line="240" w:lineRule="auto"/>
              <w:ind w:firstLine="0" w:firstLineChars="0"/>
              <w:jc w:val="center"/>
              <w:rPr>
                <w:rFonts w:hint="eastAsia" w:ascii="Times New Roman" w:hAnsi="Times New Roman" w:eastAsiaTheme="minorEastAsia"/>
                <w:color w:val="000000"/>
                <w:sz w:val="22"/>
                <w:szCs w:val="22"/>
                <w:lang w:val="en-US" w:eastAsia="zh-CN"/>
              </w:rPr>
            </w:pPr>
            <w:r>
              <w:rPr>
                <w:rFonts w:hint="eastAsia" w:ascii="Times New Roman" w:hAnsi="Times New Roman"/>
                <w:color w:val="000000"/>
                <w:sz w:val="22"/>
                <w:szCs w:val="22"/>
                <w:lang w:val="en-US" w:eastAsia="zh-CN"/>
              </w:rPr>
              <w:t>1.50</w:t>
            </w:r>
          </w:p>
        </w:tc>
        <w:tc>
          <w:tcPr>
            <w:tcW w:w="1518" w:type="dxa"/>
            <w:vAlign w:val="center"/>
          </w:tcPr>
          <w:p>
            <w:pPr>
              <w:spacing w:line="240" w:lineRule="auto"/>
              <w:ind w:firstLine="0" w:firstLineChars="0"/>
              <w:jc w:val="center"/>
              <w:rPr>
                <w:rFonts w:ascii="宋体" w:cs="宋体"/>
                <w:color w:val="000000"/>
                <w:sz w:val="22"/>
                <w:szCs w:val="22"/>
              </w:rPr>
            </w:pPr>
            <w:r>
              <w:rPr>
                <w:rFonts w:ascii="宋体" w:cs="宋体"/>
                <w:color w:val="000000"/>
                <w:sz w:val="22"/>
                <w:szCs w:val="22"/>
              </w:rPr>
              <w:t>-</w:t>
            </w:r>
          </w:p>
        </w:tc>
      </w:tr>
    </w:tbl>
    <w:p>
      <w:pPr>
        <w:spacing w:before="156" w:beforeLines="50"/>
        <w:ind w:firstLine="360"/>
        <w:rPr>
          <w:rFonts w:ascii="Times New Roman" w:hAnsi="Times New Roman"/>
          <w:caps/>
          <w:sz w:val="18"/>
        </w:rPr>
      </w:pPr>
      <w:r>
        <w:rPr>
          <w:rFonts w:hint="eastAsia" w:ascii="Times New Roman" w:hAnsi="Times New Roman"/>
          <w:caps/>
          <w:sz w:val="18"/>
        </w:rPr>
        <w:t>数据来源</w:t>
      </w:r>
      <w:r>
        <w:rPr>
          <w:rFonts w:ascii="Times New Roman" w:hAnsi="Times New Roman"/>
          <w:caps/>
          <w:sz w:val="18"/>
        </w:rPr>
        <w:t>：</w:t>
      </w:r>
      <w:r>
        <w:rPr>
          <w:rFonts w:hint="eastAsia" w:ascii="Times New Roman" w:hAnsi="Times New Roman"/>
          <w:caps/>
          <w:sz w:val="18"/>
        </w:rPr>
        <w:t>重庆市大学中专毕业生就业数据库。</w:t>
      </w:r>
    </w:p>
    <w:p>
      <w:pPr>
        <w:ind w:firstLine="560"/>
        <w:rPr>
          <w:rFonts w:ascii="Times New Roman" w:hAnsi="Times New Roman" w:eastAsia="黑体" w:cs="Times New Roman"/>
          <w:b/>
          <w:bCs/>
          <w:sz w:val="28"/>
          <w:szCs w:val="30"/>
        </w:rPr>
      </w:pPr>
      <w:r>
        <w:rPr>
          <w:rFonts w:ascii="Times New Roman" w:hAnsi="Times New Roman"/>
          <w:sz w:val="28"/>
        </w:rPr>
        <w:br w:type="page"/>
      </w:r>
    </w:p>
    <w:p>
      <w:pPr>
        <w:pStyle w:val="4"/>
        <w:spacing w:before="156" w:after="156"/>
        <w:ind w:left="240"/>
      </w:pPr>
      <w:bookmarkStart w:id="13" w:name="_Toc439953104"/>
      <w:r>
        <w:rPr>
          <w:rFonts w:hint="eastAsia"/>
        </w:rPr>
        <w:t>（二）各院系/</w:t>
      </w:r>
      <w:r>
        <w:t>专业</w:t>
      </w:r>
      <w:r>
        <w:rPr>
          <w:rFonts w:hint="eastAsia"/>
        </w:rPr>
        <w:t>的就业率</w:t>
      </w:r>
      <w:bookmarkEnd w:id="13"/>
    </w:p>
    <w:p>
      <w:pPr>
        <w:pStyle w:val="5"/>
        <w:spacing w:before="312" w:after="312"/>
        <w:ind w:left="480"/>
      </w:pPr>
      <w:bookmarkStart w:id="14" w:name="_Toc427050508"/>
      <w:r>
        <w:rPr>
          <w:rFonts w:hint="eastAsia"/>
        </w:rPr>
        <w:t>1</w:t>
      </w:r>
      <w:r>
        <w:t>.</w:t>
      </w:r>
      <w:r>
        <w:rPr>
          <w:rFonts w:hint="eastAsia"/>
        </w:rPr>
        <w:t>各系的</w:t>
      </w:r>
      <w:r>
        <w:t>就业率</w:t>
      </w:r>
      <w:bookmarkEnd w:id="14"/>
    </w:p>
    <w:p>
      <w:pPr>
        <w:pStyle w:val="18"/>
        <w:spacing w:before="312" w:after="156"/>
        <w:ind w:firstLine="482"/>
        <w:rPr>
          <w:rFonts w:ascii="Times New Roman" w:hAnsi="Times New Roman" w:cs="Times New Roman"/>
          <w:sz w:val="24"/>
          <w:szCs w:val="24"/>
        </w:rPr>
      </w:pPr>
      <w:r>
        <w:rPr>
          <w:rFonts w:hint="eastAsia"/>
          <w:sz w:val="24"/>
          <w:szCs w:val="24"/>
        </w:rPr>
        <w:t>各</w:t>
      </w:r>
      <w:r>
        <w:rPr>
          <w:sz w:val="24"/>
          <w:szCs w:val="24"/>
        </w:rPr>
        <w:t>系就业率</w:t>
      </w:r>
      <w:r>
        <w:rPr>
          <w:rFonts w:hint="eastAsia"/>
          <w:sz w:val="24"/>
          <w:szCs w:val="24"/>
        </w:rPr>
        <w:t>均</w:t>
      </w:r>
      <w:r>
        <w:rPr>
          <w:sz w:val="24"/>
          <w:szCs w:val="24"/>
        </w:rPr>
        <w:t>在</w:t>
      </w:r>
      <w:r>
        <w:rPr>
          <w:rFonts w:ascii="Times New Roman" w:hAnsi="Times New Roman" w:cs="Times New Roman"/>
          <w:sz w:val="24"/>
          <w:szCs w:val="24"/>
        </w:rPr>
        <w:t>94%</w:t>
      </w:r>
      <w:r>
        <w:rPr>
          <w:rFonts w:hint="eastAsia"/>
          <w:sz w:val="24"/>
          <w:szCs w:val="24"/>
        </w:rPr>
        <w:t>上</w:t>
      </w:r>
      <w:r>
        <w:rPr>
          <w:sz w:val="24"/>
          <w:szCs w:val="24"/>
        </w:rPr>
        <w:t>，</w:t>
      </w:r>
      <w:r>
        <w:rPr>
          <w:rFonts w:hint="eastAsia"/>
          <w:sz w:val="24"/>
          <w:szCs w:val="24"/>
        </w:rPr>
        <w:t>其中</w:t>
      </w:r>
      <w:r>
        <w:rPr>
          <w:rFonts w:hint="eastAsia"/>
          <w:sz w:val="24"/>
          <w:szCs w:val="24"/>
          <w:lang w:eastAsia="zh-CN"/>
        </w:rPr>
        <w:t>车辆工程系、铁道工程系、航空系和机电系</w:t>
      </w:r>
      <w:r>
        <w:rPr>
          <w:sz w:val="24"/>
          <w:szCs w:val="24"/>
        </w:rPr>
        <w:t>的就业率</w:t>
      </w:r>
      <w:r>
        <w:rPr>
          <w:rFonts w:hint="eastAsia"/>
          <w:sz w:val="24"/>
          <w:szCs w:val="24"/>
        </w:rPr>
        <w:t>均达</w:t>
      </w:r>
      <w:r>
        <w:rPr>
          <w:rFonts w:ascii="Times New Roman" w:hAnsi="Times New Roman" w:cs="Times New Roman"/>
          <w:sz w:val="24"/>
          <w:szCs w:val="24"/>
        </w:rPr>
        <w:t>100%</w:t>
      </w:r>
    </w:p>
    <w:p>
      <w:pPr>
        <w:jc w:val="center"/>
        <w:rPr>
          <w:rFonts w:hint="eastAsia" w:eastAsiaTheme="minorEastAsia"/>
          <w:lang w:eastAsia="zh-CN"/>
        </w:rPr>
      </w:pPr>
      <w:r>
        <w:rPr>
          <w:rFonts w:hint="eastAsia" w:eastAsiaTheme="minorEastAsia"/>
          <w:lang w:eastAsia="zh-CN"/>
        </w:rPr>
        <w:drawing>
          <wp:inline distT="0" distB="0" distL="114300" distR="114300">
            <wp:extent cx="4128135" cy="2771775"/>
            <wp:effectExtent l="4445" t="4445" r="20320" b="508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19"/>
        <w:jc w:val="center"/>
      </w:pPr>
    </w:p>
    <w:p>
      <w:pPr>
        <w:pStyle w:val="19"/>
      </w:pPr>
      <w:r>
        <w:rPr>
          <w:rFonts w:hint="eastAsia"/>
        </w:rPr>
        <w:t>数据来源</w:t>
      </w:r>
      <w:r>
        <w:t>：</w:t>
      </w:r>
      <w:r>
        <w:rPr>
          <w:rFonts w:hint="eastAsia"/>
        </w:rPr>
        <w:t>重庆市大学中专毕业生就业数据库。</w:t>
      </w:r>
    </w:p>
    <w:p>
      <w:pPr>
        <w:pStyle w:val="5"/>
        <w:spacing w:before="312" w:after="312"/>
        <w:ind w:left="480"/>
      </w:pPr>
      <w:bookmarkStart w:id="15" w:name="_Toc427050509"/>
      <w:r>
        <w:rPr>
          <w:rFonts w:hint="eastAsia"/>
        </w:rPr>
        <w:t>2</w:t>
      </w:r>
      <w:r>
        <w:t>.各专业就业率</w:t>
      </w:r>
      <w:bookmarkEnd w:id="15"/>
    </w:p>
    <w:p>
      <w:pPr>
        <w:pStyle w:val="18"/>
        <w:spacing w:before="312" w:after="156"/>
        <w:ind w:firstLine="482"/>
        <w:rPr>
          <w:sz w:val="24"/>
          <w:szCs w:val="24"/>
        </w:rPr>
      </w:pPr>
      <w:r>
        <w:rPr>
          <w:rFonts w:hint="eastAsia"/>
          <w:sz w:val="24"/>
          <w:szCs w:val="24"/>
        </w:rPr>
        <w:t>学校各专业</w:t>
      </w:r>
      <w:r>
        <w:rPr>
          <w:sz w:val="24"/>
          <w:szCs w:val="24"/>
        </w:rPr>
        <w:t>就业率均较高，</w:t>
      </w:r>
      <w:r>
        <w:rPr>
          <w:rFonts w:hint="eastAsia"/>
          <w:sz w:val="24"/>
          <w:szCs w:val="24"/>
          <w:lang w:eastAsia="zh-CN"/>
        </w:rPr>
        <w:t>道路桥梁工程检测技术、土木工程检测技术、汽车检测与维修</w:t>
      </w:r>
      <w:r>
        <w:rPr>
          <w:sz w:val="24"/>
          <w:szCs w:val="24"/>
        </w:rPr>
        <w:t>等</w:t>
      </w:r>
      <w:r>
        <w:rPr>
          <w:rFonts w:hint="eastAsia"/>
          <w:sz w:val="24"/>
          <w:szCs w:val="24"/>
          <w:lang w:val="en-US" w:eastAsia="zh-CN"/>
        </w:rPr>
        <w:t>14</w:t>
      </w:r>
      <w:r>
        <w:rPr>
          <w:rFonts w:hint="eastAsia"/>
          <w:sz w:val="24"/>
          <w:szCs w:val="24"/>
        </w:rPr>
        <w:t>个</w:t>
      </w:r>
      <w:r>
        <w:rPr>
          <w:sz w:val="24"/>
          <w:szCs w:val="24"/>
        </w:rPr>
        <w:t>专业的就业率</w:t>
      </w:r>
      <w:r>
        <w:rPr>
          <w:rFonts w:hint="eastAsia"/>
          <w:sz w:val="24"/>
          <w:szCs w:val="24"/>
        </w:rPr>
        <w:t>达</w:t>
      </w:r>
      <w:r>
        <w:rPr>
          <w:rFonts w:ascii="Times New Roman" w:hAnsi="Times New Roman" w:cs="Times New Roman"/>
          <w:sz w:val="24"/>
          <w:szCs w:val="24"/>
        </w:rPr>
        <w:t>100%</w:t>
      </w:r>
      <w:r>
        <w:rPr>
          <w:rFonts w:hint="eastAsia"/>
          <w:sz w:val="24"/>
          <w:szCs w:val="24"/>
        </w:rPr>
        <w:t>，</w:t>
      </w:r>
      <w:r>
        <w:rPr>
          <w:sz w:val="24"/>
          <w:szCs w:val="24"/>
        </w:rPr>
        <w:t>其余专业的</w:t>
      </w:r>
      <w:r>
        <w:rPr>
          <w:rFonts w:hint="eastAsia"/>
          <w:sz w:val="24"/>
          <w:szCs w:val="24"/>
        </w:rPr>
        <w:t>就业率均</w:t>
      </w:r>
      <w:r>
        <w:rPr>
          <w:sz w:val="24"/>
          <w:szCs w:val="24"/>
        </w:rPr>
        <w:t>在</w:t>
      </w:r>
      <w:r>
        <w:rPr>
          <w:rFonts w:hint="eastAsia" w:ascii="Times New Roman" w:hAnsi="Times New Roman" w:cs="Times New Roman"/>
          <w:sz w:val="24"/>
          <w:szCs w:val="24"/>
          <w:lang w:val="en-US" w:eastAsia="zh-CN"/>
        </w:rPr>
        <w:t>75</w:t>
      </w:r>
      <w:r>
        <w:rPr>
          <w:rFonts w:ascii="Times New Roman" w:hAnsi="Times New Roman" w:cs="Times New Roman"/>
          <w:sz w:val="24"/>
          <w:szCs w:val="24"/>
        </w:rPr>
        <w:t>%以上</w:t>
      </w:r>
      <w:r>
        <w:rPr>
          <w:rFonts w:hint="eastAsia" w:ascii="Times New Roman" w:hAnsi="Times New Roman" w:cs="Times New Roman"/>
          <w:sz w:val="24"/>
          <w:szCs w:val="24"/>
          <w:lang w:eastAsia="zh-CN"/>
        </w:rPr>
        <w:t>。</w:t>
      </w:r>
    </w:p>
    <w:tbl>
      <w:tblPr>
        <w:tblStyle w:val="20"/>
        <w:tblW w:w="7933" w:type="dxa"/>
        <w:tblInd w:w="0" w:type="dxa"/>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
      <w:tblGrid>
        <w:gridCol w:w="2529"/>
        <w:gridCol w:w="1437"/>
        <w:gridCol w:w="2266"/>
        <w:gridCol w:w="1701"/>
      </w:tblGrid>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2529" w:type="dxa"/>
            <w:tcBorders>
              <w:top w:val="single" w:color="4F81BD" w:sz="8" w:space="0"/>
              <w:left w:val="single" w:color="4F81BD" w:sz="8" w:space="0"/>
              <w:bottom w:val="single" w:color="4F81BD" w:sz="8" w:space="0"/>
              <w:right w:val="dotted" w:color="auto" w:sz="0" w:space="0"/>
              <w:insideH w:val="single" w:sz="4" w:space="0"/>
              <w:insideV w:val="nil"/>
            </w:tcBorders>
            <w:shd w:val="clear" w:color="auto" w:fill="4F81BD"/>
          </w:tcPr>
          <w:p>
            <w:pPr>
              <w:spacing w:line="240" w:lineRule="auto"/>
              <w:ind w:firstLine="0" w:firstLineChars="0"/>
              <w:jc w:val="center"/>
              <w:rPr>
                <w:rFonts w:ascii="宋体" w:hAnsi="宋体" w:eastAsia="宋体" w:cs="宋体"/>
                <w:b w:val="0"/>
                <w:bCs/>
                <w:color w:val="FFFFFF" w:themeColor="background1"/>
                <w:sz w:val="22"/>
                <w:szCs w:val="22"/>
                <w14:textFill>
                  <w14:solidFill>
                    <w14:schemeClr w14:val="bg1"/>
                  </w14:solidFill>
                </w14:textFill>
              </w:rPr>
            </w:pPr>
            <w:r>
              <w:rPr>
                <w:rFonts w:hint="eastAsia" w:ascii="宋体" w:hAnsi="宋体" w:eastAsia="宋体" w:cs="宋体"/>
                <w:b w:val="0"/>
                <w:bCs/>
                <w:color w:val="FFFFFF" w:themeColor="background1"/>
                <w:sz w:val="22"/>
                <w:szCs w:val="22"/>
                <w14:textFill>
                  <w14:solidFill>
                    <w14:schemeClr w14:val="bg1"/>
                  </w14:solidFill>
                </w14:textFill>
              </w:rPr>
              <w:t>专业</w:t>
            </w:r>
          </w:p>
        </w:tc>
        <w:tc>
          <w:tcPr>
            <w:tcW w:w="1437" w:type="dxa"/>
            <w:tcBorders>
              <w:top w:val="single" w:color="4F81BD" w:sz="8" w:space="0"/>
              <w:left w:val="dotted" w:color="auto" w:sz="4" w:space="0"/>
              <w:bottom w:val="single" w:color="4F81BD" w:sz="8" w:space="0"/>
              <w:right w:val="dotted" w:color="auto" w:sz="0" w:space="0"/>
              <w:insideH w:val="single" w:sz="4" w:space="0"/>
              <w:insideV w:val="nil"/>
            </w:tcBorders>
            <w:shd w:val="clear" w:color="auto" w:fill="4F81BD"/>
          </w:tcPr>
          <w:p>
            <w:pPr>
              <w:spacing w:line="240" w:lineRule="auto"/>
              <w:ind w:firstLine="0" w:firstLineChars="0"/>
              <w:jc w:val="center"/>
              <w:rPr>
                <w:rFonts w:ascii="宋体" w:hAnsi="宋体" w:eastAsia="宋体" w:cs="宋体"/>
                <w:b w:val="0"/>
                <w:bCs/>
                <w:color w:val="FFFFFF" w:themeColor="background1"/>
                <w:sz w:val="22"/>
                <w:szCs w:val="22"/>
                <w14:textFill>
                  <w14:solidFill>
                    <w14:schemeClr w14:val="bg1"/>
                  </w14:solidFill>
                </w14:textFill>
              </w:rPr>
            </w:pPr>
            <w:r>
              <w:rPr>
                <w:rFonts w:hint="eastAsia" w:ascii="宋体" w:hAnsi="宋体" w:eastAsia="宋体" w:cs="宋体"/>
                <w:b w:val="0"/>
                <w:bCs/>
                <w:color w:val="FFFFFF" w:themeColor="background1"/>
                <w:sz w:val="22"/>
                <w:szCs w:val="22"/>
                <w14:textFill>
                  <w14:solidFill>
                    <w14:schemeClr w14:val="bg1"/>
                  </w14:solidFill>
                </w14:textFill>
              </w:rPr>
              <w:t>就业率(%)</w:t>
            </w:r>
          </w:p>
        </w:tc>
        <w:tc>
          <w:tcPr>
            <w:tcW w:w="2266" w:type="dxa"/>
            <w:tcBorders>
              <w:top w:val="single" w:color="4F81BD" w:sz="8" w:space="0"/>
              <w:left w:val="dotted" w:color="auto" w:sz="4" w:space="0"/>
              <w:bottom w:val="single" w:color="4F81BD" w:sz="8" w:space="0"/>
              <w:right w:val="dotted" w:color="auto" w:sz="0" w:space="0"/>
              <w:insideH w:val="single" w:sz="4" w:space="0"/>
              <w:insideV w:val="nil"/>
            </w:tcBorders>
            <w:shd w:val="clear" w:color="auto" w:fill="4F81BD"/>
          </w:tcPr>
          <w:p>
            <w:pPr>
              <w:spacing w:line="240" w:lineRule="auto"/>
              <w:ind w:firstLine="0" w:firstLineChars="0"/>
              <w:jc w:val="center"/>
              <w:rPr>
                <w:rFonts w:ascii="宋体" w:hAnsi="宋体" w:eastAsia="宋体" w:cs="宋体"/>
                <w:b w:val="0"/>
                <w:bCs/>
                <w:color w:val="FFFFFF" w:themeColor="background1"/>
                <w:sz w:val="22"/>
                <w:szCs w:val="22"/>
                <w14:textFill>
                  <w14:solidFill>
                    <w14:schemeClr w14:val="bg1"/>
                  </w14:solidFill>
                </w14:textFill>
              </w:rPr>
            </w:pPr>
            <w:r>
              <w:rPr>
                <w:rFonts w:hint="eastAsia" w:ascii="宋体" w:hAnsi="宋体" w:eastAsia="宋体" w:cs="宋体"/>
                <w:b w:val="0"/>
                <w:bCs/>
                <w:color w:val="FFFFFF" w:themeColor="background1"/>
                <w:sz w:val="22"/>
                <w:szCs w:val="22"/>
                <w14:textFill>
                  <w14:solidFill>
                    <w14:schemeClr w14:val="bg1"/>
                  </w14:solidFill>
                </w14:textFill>
              </w:rPr>
              <w:t>专业</w:t>
            </w:r>
          </w:p>
        </w:tc>
        <w:tc>
          <w:tcPr>
            <w:tcW w:w="1701" w:type="dxa"/>
            <w:tcBorders>
              <w:top w:val="single" w:color="4F81BD" w:sz="8" w:space="0"/>
              <w:left w:val="dotted" w:color="auto" w:sz="4" w:space="0"/>
              <w:bottom w:val="single" w:color="4F81BD" w:sz="8" w:space="0"/>
              <w:right w:val="single" w:color="4F81BD" w:sz="8" w:space="0"/>
              <w:insideH w:val="single" w:sz="4" w:space="0"/>
              <w:insideV w:val="nil"/>
            </w:tcBorders>
            <w:shd w:val="clear" w:color="auto" w:fill="4F81BD"/>
          </w:tcPr>
          <w:p>
            <w:pPr>
              <w:spacing w:line="240" w:lineRule="auto"/>
              <w:ind w:firstLine="0" w:firstLineChars="0"/>
              <w:jc w:val="center"/>
              <w:rPr>
                <w:rFonts w:ascii="宋体" w:hAnsi="宋体" w:eastAsia="宋体" w:cs="宋体"/>
                <w:b w:val="0"/>
                <w:bCs/>
                <w:color w:val="FFFFFF" w:themeColor="background1"/>
                <w:sz w:val="22"/>
                <w:szCs w:val="22"/>
                <w14:textFill>
                  <w14:solidFill>
                    <w14:schemeClr w14:val="bg1"/>
                  </w14:solidFill>
                </w14:textFill>
              </w:rPr>
            </w:pPr>
            <w:r>
              <w:rPr>
                <w:rFonts w:hint="eastAsia" w:ascii="宋体" w:hAnsi="宋体" w:eastAsia="宋体" w:cs="宋体"/>
                <w:b w:val="0"/>
                <w:bCs/>
                <w:color w:val="FFFFFF" w:themeColor="background1"/>
                <w:sz w:val="22"/>
                <w:szCs w:val="22"/>
                <w14:textFill>
                  <w14:solidFill>
                    <w14:schemeClr w14:val="bg1"/>
                  </w14:solidFill>
                </w14:textFill>
              </w:rPr>
              <w:t>就业率</w:t>
            </w:r>
            <w:r>
              <w:rPr>
                <w:rFonts w:ascii="宋体" w:hAnsi="宋体" w:eastAsia="宋体" w:cs="宋体"/>
                <w:b w:val="0"/>
                <w:bCs/>
                <w:color w:val="FFFFFF" w:themeColor="background1"/>
                <w:sz w:val="22"/>
                <w:szCs w:val="22"/>
                <w14:textFill>
                  <w14:solidFill>
                    <w14:schemeClr w14:val="bg1"/>
                  </w14:solidFill>
                </w14:textFill>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2529" w:type="dxa"/>
            <w:tcBorders>
              <w:top w:val="single" w:color="4F81BD" w:sz="8" w:space="0"/>
              <w:left w:val="single" w:color="4F81BD" w:sz="8" w:space="0"/>
              <w:bottom w:val="single" w:color="4F81BD" w:sz="8" w:space="0"/>
              <w:right w:val="dotted" w:color="auto" w:sz="4" w:space="0"/>
            </w:tcBorders>
            <w:shd w:val="clear" w:color="auto" w:fill="E9EDF4"/>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高等级公路维护与管理</w:t>
            </w:r>
          </w:p>
        </w:tc>
        <w:tc>
          <w:tcPr>
            <w:tcW w:w="1437" w:type="dxa"/>
            <w:tcBorders>
              <w:top w:val="single" w:color="4F81BD" w:sz="8" w:space="0"/>
              <w:left w:val="dotted" w:color="auto" w:sz="4" w:space="0"/>
              <w:bottom w:val="single" w:color="4F81BD" w:sz="8" w:space="0"/>
              <w:right w:val="dotted" w:color="auto" w:sz="4" w:space="0"/>
            </w:tcBorders>
            <w:shd w:val="clear" w:color="auto" w:fill="E9EDF4"/>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 xml:space="preserve">100.00 </w:t>
            </w:r>
          </w:p>
        </w:tc>
        <w:tc>
          <w:tcPr>
            <w:tcW w:w="2266" w:type="dxa"/>
            <w:tcBorders>
              <w:top w:val="single" w:color="4F81BD" w:sz="8" w:space="0"/>
              <w:left w:val="dotted" w:color="auto" w:sz="4" w:space="0"/>
              <w:bottom w:val="single" w:color="4F81BD" w:sz="8" w:space="0"/>
              <w:right w:val="dotted" w:color="auto" w:sz="4" w:space="0"/>
            </w:tcBorders>
            <w:shd w:val="clear" w:color="auto" w:fill="E9EDF4"/>
          </w:tcPr>
          <w:p>
            <w:pPr>
              <w:spacing w:line="240" w:lineRule="auto"/>
              <w:ind w:firstLine="0" w:firstLineChars="0"/>
              <w:jc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eastAsia="zh-CN"/>
              </w:rPr>
              <w:t>空中乘务</w:t>
            </w:r>
          </w:p>
        </w:tc>
        <w:tc>
          <w:tcPr>
            <w:tcW w:w="1701" w:type="dxa"/>
            <w:tcBorders>
              <w:top w:val="single" w:color="4F81BD" w:sz="8" w:space="0"/>
              <w:left w:val="dotted" w:color="auto" w:sz="4" w:space="0"/>
              <w:bottom w:val="single" w:color="4F81BD" w:sz="8" w:space="0"/>
              <w:right w:val="single" w:color="4F81BD" w:sz="8" w:space="0"/>
            </w:tcBorders>
            <w:shd w:val="clear" w:color="auto" w:fill="E9EDF4"/>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100.00</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2529" w:type="dxa"/>
            <w:tcBorders>
              <w:top w:val="single" w:color="4F81BD" w:sz="8" w:space="0"/>
              <w:left w:val="single" w:color="4F81BD" w:sz="8" w:space="0"/>
              <w:bottom w:val="single" w:color="4F81BD" w:sz="8" w:space="0"/>
              <w:right w:val="dotted" w:color="auto" w:sz="4" w:space="0"/>
            </w:tcBorders>
            <w:shd w:val="clear" w:color="auto" w:fill="FFFFFF"/>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道路桥梁工程检测技术</w:t>
            </w:r>
          </w:p>
        </w:tc>
        <w:tc>
          <w:tcPr>
            <w:tcW w:w="1437" w:type="dxa"/>
            <w:tcBorders>
              <w:top w:val="single" w:color="4F81BD" w:sz="8" w:space="0"/>
              <w:left w:val="dotted" w:color="auto" w:sz="4" w:space="0"/>
              <w:bottom w:val="single" w:color="4F81BD" w:sz="8" w:space="0"/>
              <w:right w:val="dotted" w:color="auto" w:sz="4" w:space="0"/>
            </w:tcBorders>
            <w:shd w:val="clear" w:color="auto" w:fill="FFFFFF"/>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 xml:space="preserve">100.00 </w:t>
            </w:r>
          </w:p>
        </w:tc>
        <w:tc>
          <w:tcPr>
            <w:tcW w:w="2266" w:type="dxa"/>
            <w:tcBorders>
              <w:top w:val="single" w:color="4F81BD" w:sz="8" w:space="0"/>
              <w:left w:val="dotted" w:color="auto" w:sz="4" w:space="0"/>
              <w:bottom w:val="single" w:color="4F81BD" w:sz="8" w:space="0"/>
              <w:right w:val="dotted" w:color="auto" w:sz="4" w:space="0"/>
            </w:tcBorders>
            <w:shd w:val="clear" w:color="auto" w:fill="FFFFFF"/>
          </w:tcPr>
          <w:p>
            <w:pPr>
              <w:spacing w:line="240" w:lineRule="auto"/>
              <w:ind w:firstLine="0" w:firstLineChars="0"/>
              <w:jc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eastAsia="zh-CN"/>
              </w:rPr>
              <w:t>物流管理（国际航空）</w:t>
            </w:r>
          </w:p>
        </w:tc>
        <w:tc>
          <w:tcPr>
            <w:tcW w:w="1701" w:type="dxa"/>
            <w:tcBorders>
              <w:top w:val="single" w:color="4F81BD" w:sz="8" w:space="0"/>
              <w:left w:val="dotted" w:color="auto" w:sz="4" w:space="0"/>
              <w:bottom w:val="single" w:color="4F81BD" w:sz="8" w:space="0"/>
              <w:right w:val="single" w:color="4F81BD" w:sz="8" w:space="0"/>
            </w:tcBorders>
            <w:shd w:val="clear" w:color="auto" w:fill="FFFFFF"/>
          </w:tcPr>
          <w:p>
            <w:pPr>
              <w:spacing w:line="240" w:lineRule="auto"/>
              <w:ind w:firstLine="0" w:firstLineChars="0"/>
              <w:jc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sz w:val="22"/>
                <w:szCs w:val="22"/>
                <w:lang w:val="en-US" w:eastAsia="zh-CN"/>
              </w:rPr>
              <w:t>100.00</w:t>
            </w:r>
            <w:r>
              <w:rPr>
                <w:rFonts w:ascii="Times New Roman" w:hAnsi="Times New Roman" w:eastAsia="宋体" w:cs="Times New Roman"/>
                <w:color w:val="000000"/>
                <w:sz w:val="22"/>
                <w:szCs w:val="22"/>
              </w:rPr>
              <w:t xml:space="preserve"> </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2529" w:type="dxa"/>
            <w:tcBorders>
              <w:top w:val="single" w:color="4F81BD" w:sz="8" w:space="0"/>
              <w:left w:val="single" w:color="4F81BD" w:sz="8" w:space="0"/>
              <w:bottom w:val="single" w:color="4F81BD" w:sz="8" w:space="0"/>
              <w:right w:val="dotted" w:color="auto" w:sz="4" w:space="0"/>
            </w:tcBorders>
            <w:shd w:val="clear" w:color="auto" w:fill="E9EDF4"/>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工程造价（道桥造价）</w:t>
            </w:r>
          </w:p>
        </w:tc>
        <w:tc>
          <w:tcPr>
            <w:tcW w:w="1437" w:type="dxa"/>
            <w:tcBorders>
              <w:top w:val="single" w:color="4F81BD" w:sz="8" w:space="0"/>
              <w:left w:val="dotted" w:color="auto" w:sz="4" w:space="0"/>
              <w:bottom w:val="single" w:color="4F81BD" w:sz="8" w:space="0"/>
              <w:right w:val="dotted" w:color="auto" w:sz="4" w:space="0"/>
            </w:tcBorders>
            <w:shd w:val="clear" w:color="auto" w:fill="E9EDF4"/>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 xml:space="preserve">100.00 </w:t>
            </w:r>
          </w:p>
        </w:tc>
        <w:tc>
          <w:tcPr>
            <w:tcW w:w="2266" w:type="dxa"/>
            <w:tcBorders>
              <w:top w:val="single" w:color="4F81BD" w:sz="8" w:space="0"/>
              <w:left w:val="dotted" w:color="auto" w:sz="4" w:space="0"/>
              <w:bottom w:val="single" w:color="4F81BD" w:sz="8" w:space="0"/>
              <w:right w:val="dotted" w:color="auto" w:sz="4" w:space="0"/>
            </w:tcBorders>
            <w:shd w:val="clear" w:color="auto" w:fill="E9EDF4"/>
          </w:tcPr>
          <w:p>
            <w:pPr>
              <w:spacing w:line="240" w:lineRule="auto"/>
              <w:ind w:firstLine="0" w:firstLineChars="0"/>
              <w:jc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eastAsia="zh-CN"/>
              </w:rPr>
              <w:t>物流管理</w:t>
            </w:r>
          </w:p>
        </w:tc>
        <w:tc>
          <w:tcPr>
            <w:tcW w:w="1701" w:type="dxa"/>
            <w:tcBorders>
              <w:top w:val="single" w:color="4F81BD" w:sz="8" w:space="0"/>
              <w:left w:val="dotted" w:color="auto" w:sz="4" w:space="0"/>
              <w:bottom w:val="single" w:color="4F81BD" w:sz="8" w:space="0"/>
              <w:right w:val="single" w:color="4F81BD" w:sz="8" w:space="0"/>
            </w:tcBorders>
            <w:shd w:val="clear" w:color="auto" w:fill="E9EDF4"/>
          </w:tcPr>
          <w:p>
            <w:pPr>
              <w:spacing w:line="240" w:lineRule="auto"/>
              <w:ind w:firstLine="0" w:firstLineChars="0"/>
              <w:jc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sz w:val="22"/>
                <w:szCs w:val="22"/>
                <w:lang w:val="en-US" w:eastAsia="zh-CN"/>
              </w:rPr>
              <w:t>100.00</w:t>
            </w:r>
            <w:r>
              <w:rPr>
                <w:rFonts w:ascii="Times New Roman" w:hAnsi="Times New Roman" w:eastAsia="宋体" w:cs="Times New Roman"/>
                <w:color w:val="000000"/>
                <w:sz w:val="22"/>
                <w:szCs w:val="22"/>
              </w:rPr>
              <w:t xml:space="preserve"> </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2529" w:type="dxa"/>
            <w:tcBorders>
              <w:top w:val="single" w:color="4F81BD" w:sz="8" w:space="0"/>
              <w:left w:val="single" w:color="4F81BD" w:sz="8" w:space="0"/>
              <w:bottom w:val="single" w:color="4F81BD" w:sz="8" w:space="0"/>
              <w:right w:val="dotted" w:color="auto" w:sz="4" w:space="0"/>
            </w:tcBorders>
            <w:shd w:val="clear" w:color="auto" w:fill="FFFFFF"/>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土木工程检测技术</w:t>
            </w:r>
          </w:p>
        </w:tc>
        <w:tc>
          <w:tcPr>
            <w:tcW w:w="1437" w:type="dxa"/>
            <w:tcBorders>
              <w:top w:val="single" w:color="4F81BD" w:sz="8" w:space="0"/>
              <w:left w:val="dotted" w:color="auto" w:sz="4" w:space="0"/>
              <w:bottom w:val="single" w:color="4F81BD" w:sz="8" w:space="0"/>
              <w:right w:val="dotted" w:color="auto" w:sz="4" w:space="0"/>
            </w:tcBorders>
            <w:shd w:val="clear" w:color="auto" w:fill="FFFFFF"/>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 xml:space="preserve">100.00 </w:t>
            </w:r>
          </w:p>
        </w:tc>
        <w:tc>
          <w:tcPr>
            <w:tcW w:w="2266" w:type="dxa"/>
            <w:tcBorders>
              <w:top w:val="single" w:color="4F81BD" w:sz="8" w:space="0"/>
              <w:left w:val="dotted" w:color="auto" w:sz="4" w:space="0"/>
              <w:bottom w:val="single" w:color="4F81BD" w:sz="8" w:space="0"/>
              <w:right w:val="dotted" w:color="auto" w:sz="4" w:space="0"/>
            </w:tcBorders>
            <w:shd w:val="clear" w:color="auto" w:fill="FFFFFF"/>
          </w:tcPr>
          <w:p>
            <w:pPr>
              <w:spacing w:line="240" w:lineRule="auto"/>
              <w:ind w:firstLine="0" w:firstLineChars="0"/>
              <w:jc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eastAsia="zh-CN"/>
              </w:rPr>
              <w:t>建筑设计技术</w:t>
            </w:r>
          </w:p>
        </w:tc>
        <w:tc>
          <w:tcPr>
            <w:tcW w:w="1701" w:type="dxa"/>
            <w:tcBorders>
              <w:top w:val="single" w:color="4F81BD" w:sz="8" w:space="0"/>
              <w:left w:val="dotted" w:color="auto" w:sz="4" w:space="0"/>
              <w:bottom w:val="single" w:color="4F81BD" w:sz="8" w:space="0"/>
              <w:right w:val="single" w:color="4F81BD" w:sz="8" w:space="0"/>
            </w:tcBorders>
            <w:shd w:val="clear" w:color="auto" w:fill="FFFFFF"/>
          </w:tcPr>
          <w:p>
            <w:pPr>
              <w:spacing w:line="240" w:lineRule="auto"/>
              <w:ind w:firstLine="0" w:firstLineChars="0"/>
              <w:jc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sz w:val="22"/>
                <w:szCs w:val="22"/>
                <w:lang w:val="en-US" w:eastAsia="zh-CN"/>
              </w:rPr>
              <w:t>99.48</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2529" w:type="dxa"/>
            <w:tcBorders>
              <w:top w:val="single" w:color="4F81BD" w:sz="8" w:space="0"/>
              <w:left w:val="single" w:color="4F81BD" w:sz="8" w:space="0"/>
              <w:bottom w:val="single" w:color="4F81BD" w:sz="8" w:space="0"/>
              <w:right w:val="dotted" w:color="auto" w:sz="4" w:space="0"/>
            </w:tcBorders>
            <w:shd w:val="clear" w:color="auto" w:fill="E9EDF4"/>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建筑电气工程技术</w:t>
            </w:r>
          </w:p>
        </w:tc>
        <w:tc>
          <w:tcPr>
            <w:tcW w:w="1437" w:type="dxa"/>
            <w:tcBorders>
              <w:top w:val="single" w:color="4F81BD" w:sz="8" w:space="0"/>
              <w:left w:val="dotted" w:color="auto" w:sz="4" w:space="0"/>
              <w:bottom w:val="single" w:color="4F81BD" w:sz="8" w:space="0"/>
              <w:right w:val="dotted" w:color="auto" w:sz="4" w:space="0"/>
            </w:tcBorders>
            <w:shd w:val="clear" w:color="auto" w:fill="E9EDF4"/>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 xml:space="preserve">100.00 </w:t>
            </w:r>
          </w:p>
        </w:tc>
        <w:tc>
          <w:tcPr>
            <w:tcW w:w="2266" w:type="dxa"/>
            <w:tcBorders>
              <w:top w:val="single" w:color="4F81BD" w:sz="8" w:space="0"/>
              <w:left w:val="dotted" w:color="auto" w:sz="4" w:space="0"/>
              <w:bottom w:val="single" w:color="4F81BD" w:sz="8" w:space="0"/>
              <w:right w:val="dotted" w:color="auto" w:sz="4" w:space="0"/>
            </w:tcBorders>
            <w:shd w:val="clear" w:color="auto" w:fill="E9EDF4"/>
          </w:tcPr>
          <w:p>
            <w:pPr>
              <w:spacing w:line="240" w:lineRule="auto"/>
              <w:ind w:firstLine="0" w:firstLineChars="0"/>
              <w:jc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eastAsia="zh-CN"/>
              </w:rPr>
              <w:t>道路桥梁工程技术</w:t>
            </w:r>
          </w:p>
        </w:tc>
        <w:tc>
          <w:tcPr>
            <w:tcW w:w="1701" w:type="dxa"/>
            <w:tcBorders>
              <w:top w:val="single" w:color="4F81BD" w:sz="8" w:space="0"/>
              <w:left w:val="dotted" w:color="auto" w:sz="4" w:space="0"/>
              <w:bottom w:val="single" w:color="4F81BD" w:sz="8" w:space="0"/>
              <w:right w:val="single" w:color="4F81BD" w:sz="8" w:space="0"/>
            </w:tcBorders>
            <w:shd w:val="clear" w:color="auto" w:fill="E9EDF4"/>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99.17</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2529" w:type="dxa"/>
            <w:tcBorders>
              <w:top w:val="single" w:color="4F81BD" w:sz="8" w:space="0"/>
              <w:left w:val="single" w:color="4F81BD" w:sz="8" w:space="0"/>
              <w:bottom w:val="single" w:color="4F81BD" w:sz="8" w:space="0"/>
              <w:right w:val="dotted" w:color="auto" w:sz="4" w:space="0"/>
            </w:tcBorders>
            <w:shd w:val="clear" w:color="auto" w:fill="FFFFFF"/>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汽车检测与维修技术</w:t>
            </w:r>
          </w:p>
        </w:tc>
        <w:tc>
          <w:tcPr>
            <w:tcW w:w="1437" w:type="dxa"/>
            <w:tcBorders>
              <w:top w:val="single" w:color="4F81BD" w:sz="8" w:space="0"/>
              <w:left w:val="dotted" w:color="auto" w:sz="4" w:space="0"/>
              <w:bottom w:val="single" w:color="4F81BD" w:sz="8" w:space="0"/>
              <w:right w:val="dotted" w:color="auto" w:sz="4" w:space="0"/>
            </w:tcBorders>
            <w:shd w:val="clear" w:color="auto" w:fill="FFFFFF"/>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 xml:space="preserve">100.00 </w:t>
            </w:r>
          </w:p>
        </w:tc>
        <w:tc>
          <w:tcPr>
            <w:tcW w:w="2266" w:type="dxa"/>
            <w:tcBorders>
              <w:top w:val="single" w:color="4F81BD" w:sz="8" w:space="0"/>
              <w:left w:val="dotted" w:color="auto" w:sz="4" w:space="0"/>
              <w:bottom w:val="single" w:color="4F81BD" w:sz="8" w:space="0"/>
              <w:right w:val="dotted" w:color="auto" w:sz="4" w:space="0"/>
            </w:tcBorders>
            <w:shd w:val="clear" w:color="auto" w:fill="FFFFFF"/>
          </w:tcPr>
          <w:p>
            <w:pPr>
              <w:spacing w:line="240" w:lineRule="auto"/>
              <w:ind w:firstLine="0" w:firstLineChars="0"/>
              <w:jc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eastAsia="zh-CN"/>
              </w:rPr>
              <w:t>工程造价</w:t>
            </w:r>
          </w:p>
        </w:tc>
        <w:tc>
          <w:tcPr>
            <w:tcW w:w="1701" w:type="dxa"/>
            <w:tcBorders>
              <w:top w:val="single" w:color="4F81BD" w:sz="8" w:space="0"/>
              <w:left w:val="dotted" w:color="auto" w:sz="4" w:space="0"/>
              <w:bottom w:val="single" w:color="4F81BD" w:sz="8" w:space="0"/>
              <w:right w:val="single" w:color="4F81BD" w:sz="8" w:space="0"/>
            </w:tcBorders>
            <w:shd w:val="clear" w:color="auto" w:fill="FFFFFF"/>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 xml:space="preserve"> </w:t>
            </w:r>
            <w:r>
              <w:rPr>
                <w:rFonts w:hint="eastAsia" w:ascii="Times New Roman" w:hAnsi="Times New Roman" w:eastAsia="宋体" w:cs="Times New Roman"/>
                <w:color w:val="000000"/>
                <w:sz w:val="22"/>
                <w:szCs w:val="22"/>
                <w:lang w:val="en-US" w:eastAsia="zh-CN"/>
              </w:rPr>
              <w:t>98.76</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2529" w:type="dxa"/>
            <w:tcBorders>
              <w:top w:val="single" w:color="4F81BD" w:sz="8" w:space="0"/>
              <w:left w:val="single" w:color="4F81BD" w:sz="8" w:space="0"/>
              <w:bottom w:val="single" w:color="4F81BD" w:sz="8" w:space="0"/>
              <w:right w:val="dotted" w:color="auto" w:sz="4" w:space="0"/>
            </w:tcBorders>
            <w:shd w:val="clear" w:color="auto" w:fill="E9EDF4"/>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汽车电子技术</w:t>
            </w:r>
          </w:p>
        </w:tc>
        <w:tc>
          <w:tcPr>
            <w:tcW w:w="1437" w:type="dxa"/>
            <w:tcBorders>
              <w:top w:val="single" w:color="4F81BD" w:sz="8" w:space="0"/>
              <w:left w:val="dotted" w:color="auto" w:sz="4" w:space="0"/>
              <w:bottom w:val="single" w:color="4F81BD" w:sz="8" w:space="0"/>
              <w:right w:val="dotted" w:color="auto" w:sz="4" w:space="0"/>
            </w:tcBorders>
            <w:shd w:val="clear" w:color="auto" w:fill="E9EDF4"/>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 xml:space="preserve">100.00 </w:t>
            </w:r>
          </w:p>
        </w:tc>
        <w:tc>
          <w:tcPr>
            <w:tcW w:w="2266" w:type="dxa"/>
            <w:tcBorders>
              <w:top w:val="single" w:color="4F81BD" w:sz="8" w:space="0"/>
              <w:left w:val="dotted" w:color="auto" w:sz="4" w:space="0"/>
              <w:bottom w:val="single" w:color="4F81BD" w:sz="8" w:space="0"/>
              <w:right w:val="dotted" w:color="auto" w:sz="4" w:space="0"/>
            </w:tcBorders>
            <w:shd w:val="clear" w:color="auto" w:fill="E9EDF4"/>
          </w:tcPr>
          <w:p>
            <w:pPr>
              <w:spacing w:line="240" w:lineRule="auto"/>
              <w:ind w:firstLine="0" w:firstLineChars="0"/>
              <w:jc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rPr>
              <w:t>工程测量与监理</w:t>
            </w:r>
          </w:p>
        </w:tc>
        <w:tc>
          <w:tcPr>
            <w:tcW w:w="1701" w:type="dxa"/>
            <w:tcBorders>
              <w:top w:val="single" w:color="4F81BD" w:sz="8" w:space="0"/>
              <w:left w:val="dotted" w:color="auto" w:sz="4" w:space="0"/>
              <w:bottom w:val="single" w:color="4F81BD" w:sz="8" w:space="0"/>
              <w:right w:val="single" w:color="4F81BD" w:sz="8" w:space="0"/>
            </w:tcBorders>
            <w:shd w:val="clear" w:color="auto" w:fill="E9EDF4"/>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 xml:space="preserve"> </w:t>
            </w:r>
            <w:r>
              <w:rPr>
                <w:rFonts w:hint="eastAsia" w:ascii="Times New Roman" w:hAnsi="Times New Roman" w:eastAsia="宋体" w:cs="Times New Roman"/>
                <w:color w:val="000000"/>
                <w:sz w:val="22"/>
                <w:szCs w:val="22"/>
                <w:lang w:val="en-US" w:eastAsia="zh-CN"/>
              </w:rPr>
              <w:t>98.39</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2529" w:type="dxa"/>
            <w:tcBorders>
              <w:top w:val="single" w:color="4F81BD" w:sz="8" w:space="0"/>
              <w:left w:val="single" w:color="4F81BD" w:sz="8" w:space="0"/>
              <w:bottom w:val="single" w:color="4F81BD" w:sz="8" w:space="0"/>
              <w:right w:val="dotted" w:color="auto" w:sz="4" w:space="0"/>
            </w:tcBorders>
            <w:shd w:val="clear" w:color="auto" w:fill="FFFFFF"/>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汽车技术服务与营销</w:t>
            </w:r>
          </w:p>
        </w:tc>
        <w:tc>
          <w:tcPr>
            <w:tcW w:w="1437" w:type="dxa"/>
            <w:tcBorders>
              <w:top w:val="single" w:color="4F81BD" w:sz="8" w:space="0"/>
              <w:left w:val="dotted" w:color="auto" w:sz="4" w:space="0"/>
              <w:bottom w:val="single" w:color="4F81BD" w:sz="8" w:space="0"/>
              <w:right w:val="dotted" w:color="auto" w:sz="4" w:space="0"/>
            </w:tcBorders>
            <w:shd w:val="clear" w:color="auto" w:fill="FFFFFF"/>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 xml:space="preserve">100.00 </w:t>
            </w:r>
          </w:p>
        </w:tc>
        <w:tc>
          <w:tcPr>
            <w:tcW w:w="2266" w:type="dxa"/>
            <w:tcBorders>
              <w:top w:val="single" w:color="4F81BD" w:sz="8" w:space="0"/>
              <w:left w:val="dotted" w:color="auto" w:sz="4" w:space="0"/>
              <w:bottom w:val="single" w:color="4F81BD" w:sz="8" w:space="0"/>
              <w:right w:val="dotted" w:color="auto" w:sz="4" w:space="0"/>
            </w:tcBorders>
            <w:shd w:val="clear" w:color="auto" w:fill="FFFFFF"/>
          </w:tcPr>
          <w:p>
            <w:pPr>
              <w:spacing w:line="240" w:lineRule="auto"/>
              <w:ind w:firstLine="0" w:firstLineChars="0"/>
              <w:jc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eastAsia="zh-CN"/>
              </w:rPr>
              <w:t>港口与航运管理</w:t>
            </w:r>
          </w:p>
        </w:tc>
        <w:tc>
          <w:tcPr>
            <w:tcW w:w="1701" w:type="dxa"/>
            <w:tcBorders>
              <w:top w:val="single" w:color="4F81BD" w:sz="8" w:space="0"/>
              <w:left w:val="dotted" w:color="auto" w:sz="4" w:space="0"/>
              <w:bottom w:val="single" w:color="4F81BD" w:sz="8" w:space="0"/>
              <w:right w:val="single" w:color="4F81BD" w:sz="8" w:space="0"/>
            </w:tcBorders>
            <w:shd w:val="clear" w:color="auto" w:fill="FFFFFF"/>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 xml:space="preserve"> </w:t>
            </w:r>
            <w:r>
              <w:rPr>
                <w:rFonts w:hint="eastAsia" w:ascii="Times New Roman" w:hAnsi="Times New Roman" w:eastAsia="宋体" w:cs="Times New Roman"/>
                <w:color w:val="000000"/>
                <w:sz w:val="22"/>
                <w:szCs w:val="22"/>
                <w:lang w:val="en-US" w:eastAsia="zh-CN"/>
              </w:rPr>
              <w:t>96.67</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2529" w:type="dxa"/>
            <w:tcBorders>
              <w:top w:val="single" w:color="4F81BD" w:sz="8" w:space="0"/>
              <w:left w:val="single" w:color="4F81BD" w:sz="8" w:space="0"/>
              <w:bottom w:val="single" w:color="4F81BD" w:sz="8" w:space="0"/>
              <w:right w:val="dotted" w:color="auto" w:sz="4" w:space="0"/>
            </w:tcBorders>
            <w:shd w:val="clear" w:color="auto" w:fill="E9EDF4"/>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保险实务</w:t>
            </w:r>
          </w:p>
        </w:tc>
        <w:tc>
          <w:tcPr>
            <w:tcW w:w="1437" w:type="dxa"/>
            <w:tcBorders>
              <w:top w:val="single" w:color="4F81BD" w:sz="8" w:space="0"/>
              <w:left w:val="dotted" w:color="auto" w:sz="4" w:space="0"/>
              <w:bottom w:val="single" w:color="4F81BD" w:sz="8" w:space="0"/>
              <w:right w:val="dotted" w:color="auto" w:sz="4" w:space="0"/>
            </w:tcBorders>
            <w:shd w:val="clear" w:color="auto" w:fill="E9EDF4"/>
          </w:tcPr>
          <w:p>
            <w:pPr>
              <w:spacing w:line="240" w:lineRule="auto"/>
              <w:ind w:firstLine="0" w:firstLineChars="0"/>
              <w:jc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sz w:val="22"/>
                <w:szCs w:val="22"/>
                <w:lang w:val="en-US" w:eastAsia="zh-CN"/>
              </w:rPr>
              <w:t>100.00</w:t>
            </w:r>
            <w:r>
              <w:rPr>
                <w:rFonts w:ascii="Times New Roman" w:hAnsi="Times New Roman" w:eastAsia="宋体" w:cs="Times New Roman"/>
                <w:color w:val="000000"/>
                <w:sz w:val="22"/>
                <w:szCs w:val="22"/>
              </w:rPr>
              <w:t xml:space="preserve"> </w:t>
            </w:r>
          </w:p>
        </w:tc>
        <w:tc>
          <w:tcPr>
            <w:tcW w:w="2266" w:type="dxa"/>
            <w:tcBorders>
              <w:top w:val="single" w:color="4F81BD" w:sz="8" w:space="0"/>
              <w:left w:val="dotted" w:color="auto" w:sz="4" w:space="0"/>
              <w:bottom w:val="single" w:color="4F81BD" w:sz="8" w:space="0"/>
              <w:right w:val="dotted" w:color="auto" w:sz="4" w:space="0"/>
            </w:tcBorders>
            <w:shd w:val="clear" w:color="auto" w:fill="E9EDF4"/>
          </w:tcPr>
          <w:p>
            <w:pPr>
              <w:spacing w:line="240" w:lineRule="auto"/>
              <w:ind w:firstLine="0" w:firstLineChars="0"/>
              <w:jc w:val="center"/>
              <w:rPr>
                <w:rFonts w:ascii="宋体" w:hAnsi="宋体" w:eastAsia="宋体" w:cs="宋体"/>
                <w:color w:val="000000"/>
                <w:sz w:val="22"/>
                <w:szCs w:val="22"/>
              </w:rPr>
            </w:pPr>
            <w:r>
              <w:rPr>
                <w:rFonts w:hint="eastAsia" w:ascii="宋体" w:hAnsi="宋体" w:eastAsia="宋体" w:cs="宋体"/>
                <w:color w:val="000000"/>
                <w:sz w:val="22"/>
                <w:szCs w:val="22"/>
                <w:lang w:eastAsia="zh-CN"/>
              </w:rPr>
              <w:t>城市轨道交通控制</w:t>
            </w:r>
          </w:p>
        </w:tc>
        <w:tc>
          <w:tcPr>
            <w:tcW w:w="1701" w:type="dxa"/>
            <w:tcBorders>
              <w:top w:val="single" w:color="4F81BD" w:sz="8" w:space="0"/>
              <w:left w:val="dotted" w:color="auto" w:sz="4" w:space="0"/>
              <w:bottom w:val="single" w:color="4F81BD" w:sz="8" w:space="0"/>
              <w:right w:val="single" w:color="4F81BD" w:sz="8" w:space="0"/>
            </w:tcBorders>
            <w:shd w:val="clear" w:color="auto" w:fill="E9EDF4"/>
          </w:tcPr>
          <w:p>
            <w:pPr>
              <w:spacing w:line="240" w:lineRule="auto"/>
              <w:ind w:firstLine="0" w:firstLineChars="0"/>
              <w:jc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sz w:val="22"/>
                <w:szCs w:val="22"/>
                <w:lang w:val="en-US" w:eastAsia="zh-CN"/>
              </w:rPr>
              <w:t>95.29</w:t>
            </w:r>
            <w:r>
              <w:rPr>
                <w:rFonts w:ascii="Times New Roman" w:hAnsi="Times New Roman" w:eastAsia="宋体" w:cs="Times New Roman"/>
                <w:color w:val="000000"/>
                <w:sz w:val="22"/>
                <w:szCs w:val="22"/>
              </w:rPr>
              <w:t xml:space="preserve"> </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2529" w:type="dxa"/>
            <w:tcBorders>
              <w:top w:val="single" w:color="4F81BD" w:sz="8" w:space="0"/>
              <w:left w:val="single" w:color="4F81BD" w:sz="8" w:space="0"/>
              <w:bottom w:val="single" w:color="4F81BD" w:sz="8" w:space="0"/>
              <w:right w:val="dotted" w:color="auto" w:sz="4" w:space="0"/>
            </w:tcBorders>
            <w:shd w:val="clear" w:color="auto" w:fill="FFFFFF"/>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机械设计与制造</w:t>
            </w:r>
          </w:p>
        </w:tc>
        <w:tc>
          <w:tcPr>
            <w:tcW w:w="1437" w:type="dxa"/>
            <w:tcBorders>
              <w:top w:val="single" w:color="4F81BD" w:sz="8" w:space="0"/>
              <w:left w:val="dotted" w:color="auto" w:sz="4" w:space="0"/>
              <w:bottom w:val="single" w:color="4F81BD" w:sz="8" w:space="0"/>
              <w:right w:val="dotted" w:color="auto" w:sz="4" w:space="0"/>
            </w:tcBorders>
            <w:shd w:val="clear" w:color="auto" w:fill="FFFFFF"/>
          </w:tcPr>
          <w:p>
            <w:pPr>
              <w:spacing w:line="240" w:lineRule="auto"/>
              <w:ind w:firstLine="0" w:firstLineChars="0"/>
              <w:jc w:val="center"/>
              <w:rPr>
                <w:rFonts w:hint="eastAsia" w:ascii="宋体" w:hAnsi="宋体" w:eastAsia="宋体" w:cs="宋体"/>
                <w:b/>
                <w:color w:val="000000"/>
                <w:sz w:val="22"/>
                <w:szCs w:val="22"/>
                <w:lang w:val="en-US" w:eastAsia="zh-CN"/>
              </w:rPr>
            </w:pPr>
            <w:r>
              <w:rPr>
                <w:rFonts w:hint="default" w:ascii="Times New Roman" w:hAnsi="Times New Roman" w:eastAsia="宋体" w:cs="Times New Roman"/>
                <w:b w:val="0"/>
                <w:bCs/>
                <w:color w:val="000000"/>
                <w:sz w:val="22"/>
                <w:szCs w:val="22"/>
                <w:lang w:val="en-US" w:eastAsia="zh-CN"/>
              </w:rPr>
              <w:t>100.00</w:t>
            </w:r>
          </w:p>
        </w:tc>
        <w:tc>
          <w:tcPr>
            <w:tcW w:w="2266" w:type="dxa"/>
            <w:tcBorders>
              <w:top w:val="single" w:color="4F81BD" w:sz="8" w:space="0"/>
              <w:left w:val="dotted" w:color="auto" w:sz="4" w:space="0"/>
              <w:bottom w:val="single" w:color="4F81BD" w:sz="8" w:space="0"/>
              <w:right w:val="dotted" w:color="auto" w:sz="4" w:space="0"/>
            </w:tcBorders>
            <w:shd w:val="clear" w:color="auto" w:fill="FFFFFF"/>
          </w:tcPr>
          <w:p>
            <w:pPr>
              <w:spacing w:line="240" w:lineRule="auto"/>
              <w:ind w:firstLine="0" w:firstLineChars="0"/>
              <w:jc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eastAsia="zh-CN"/>
              </w:rPr>
              <w:t>建筑工程管理</w:t>
            </w:r>
          </w:p>
        </w:tc>
        <w:tc>
          <w:tcPr>
            <w:tcW w:w="1701" w:type="dxa"/>
            <w:tcBorders>
              <w:top w:val="single" w:color="4F81BD" w:sz="8" w:space="0"/>
              <w:left w:val="dotted" w:color="auto" w:sz="4" w:space="0"/>
              <w:bottom w:val="single" w:color="4F81BD" w:sz="8" w:space="0"/>
              <w:right w:val="single" w:color="4F81BD" w:sz="8" w:space="0"/>
            </w:tcBorders>
            <w:shd w:val="clear" w:color="auto" w:fill="FFFFFF"/>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95.21</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2529" w:type="dxa"/>
            <w:tcBorders>
              <w:top w:val="single" w:color="4F81BD" w:sz="8" w:space="0"/>
              <w:left w:val="single" w:color="4F81BD" w:sz="8" w:space="0"/>
              <w:bottom w:val="single" w:color="4F81BD" w:sz="8" w:space="0"/>
              <w:right w:val="dotted" w:color="auto" w:sz="4" w:space="0"/>
            </w:tcBorders>
            <w:shd w:val="clear" w:color="auto" w:fill="E9EDF4"/>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color w:val="000000"/>
                <w:sz w:val="22"/>
                <w:szCs w:val="22"/>
                <w:lang w:eastAsia="zh-CN"/>
              </w:rPr>
              <w:t>交通安全与智能控制</w:t>
            </w:r>
          </w:p>
        </w:tc>
        <w:tc>
          <w:tcPr>
            <w:tcW w:w="1437" w:type="dxa"/>
            <w:tcBorders>
              <w:top w:val="single" w:color="4F81BD" w:sz="8" w:space="0"/>
              <w:left w:val="dotted" w:color="auto" w:sz="4" w:space="0"/>
              <w:bottom w:val="single" w:color="4F81BD" w:sz="8" w:space="0"/>
              <w:right w:val="dotted" w:color="auto" w:sz="4" w:space="0"/>
            </w:tcBorders>
            <w:shd w:val="clear" w:color="auto" w:fill="E9EDF4"/>
          </w:tcPr>
          <w:p>
            <w:pPr>
              <w:spacing w:line="240" w:lineRule="auto"/>
              <w:ind w:firstLine="0" w:firstLineChars="0"/>
              <w:jc w:val="center"/>
              <w:rPr>
                <w:rFonts w:hint="default" w:ascii="Times New Roman" w:hAnsi="Times New Roman" w:eastAsia="宋体" w:cs="Times New Roman"/>
                <w:b w:val="0"/>
                <w:bCs/>
                <w:color w:val="000000"/>
                <w:sz w:val="22"/>
                <w:szCs w:val="22"/>
                <w:lang w:val="en-US" w:eastAsia="zh-CN"/>
              </w:rPr>
            </w:pPr>
            <w:r>
              <w:rPr>
                <w:rFonts w:hint="eastAsia" w:ascii="Times New Roman" w:hAnsi="Times New Roman" w:eastAsia="宋体" w:cs="Times New Roman"/>
                <w:color w:val="000000"/>
                <w:sz w:val="22"/>
                <w:szCs w:val="22"/>
                <w:lang w:val="en-US" w:eastAsia="zh-CN"/>
              </w:rPr>
              <w:t>100.00</w:t>
            </w:r>
            <w:r>
              <w:rPr>
                <w:rFonts w:ascii="Times New Roman" w:hAnsi="Times New Roman" w:eastAsia="宋体" w:cs="Times New Roman"/>
                <w:color w:val="000000"/>
                <w:sz w:val="22"/>
                <w:szCs w:val="22"/>
              </w:rPr>
              <w:t xml:space="preserve"> </w:t>
            </w:r>
          </w:p>
        </w:tc>
        <w:tc>
          <w:tcPr>
            <w:tcW w:w="2266" w:type="dxa"/>
            <w:tcBorders>
              <w:top w:val="single" w:color="4F81BD" w:sz="8" w:space="0"/>
              <w:left w:val="dotted" w:color="auto" w:sz="4" w:space="0"/>
              <w:bottom w:val="single" w:color="4F81BD" w:sz="8" w:space="0"/>
              <w:right w:val="dotted" w:color="auto" w:sz="4" w:space="0"/>
            </w:tcBorders>
            <w:shd w:val="clear" w:color="auto" w:fill="E9EDF4"/>
          </w:tcPr>
          <w:p>
            <w:pPr>
              <w:spacing w:line="240" w:lineRule="auto"/>
              <w:ind w:firstLine="0" w:firstLineChars="0"/>
              <w:jc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eastAsia="zh-CN"/>
              </w:rPr>
              <w:t>城市交通运输</w:t>
            </w:r>
          </w:p>
        </w:tc>
        <w:tc>
          <w:tcPr>
            <w:tcW w:w="1701" w:type="dxa"/>
            <w:tcBorders>
              <w:top w:val="single" w:color="4F81BD" w:sz="8" w:space="0"/>
              <w:left w:val="dotted" w:color="auto" w:sz="4" w:space="0"/>
              <w:bottom w:val="single" w:color="4F81BD" w:sz="8" w:space="0"/>
              <w:right w:val="single" w:color="4F81BD" w:sz="8" w:space="0"/>
            </w:tcBorders>
            <w:shd w:val="clear" w:color="auto" w:fill="E9EDF4"/>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91.38</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2529" w:type="dxa"/>
            <w:tcBorders>
              <w:top w:val="single" w:color="4F81BD" w:sz="8" w:space="0"/>
              <w:left w:val="single" w:color="4F81BD" w:sz="8" w:space="0"/>
              <w:bottom w:val="single" w:color="4F81BD" w:sz="8" w:space="0"/>
              <w:right w:val="dotted" w:color="auto" w:sz="4" w:space="0"/>
            </w:tcBorders>
            <w:shd w:val="clear" w:color="auto" w:fill="FFFFFF"/>
          </w:tcPr>
          <w:p>
            <w:pPr>
              <w:spacing w:line="240" w:lineRule="auto"/>
              <w:ind w:firstLine="0" w:firstLineChars="0"/>
              <w:jc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eastAsia="zh-CN"/>
              </w:rPr>
              <w:t>报关与国际货运</w:t>
            </w:r>
          </w:p>
        </w:tc>
        <w:tc>
          <w:tcPr>
            <w:tcW w:w="1437" w:type="dxa"/>
            <w:tcBorders>
              <w:top w:val="single" w:color="4F81BD" w:sz="8" w:space="0"/>
              <w:left w:val="dotted" w:color="auto" w:sz="4" w:space="0"/>
              <w:bottom w:val="single" w:color="4F81BD" w:sz="8" w:space="0"/>
              <w:right w:val="dotted" w:color="auto" w:sz="4" w:space="0"/>
            </w:tcBorders>
            <w:shd w:val="clear" w:color="auto" w:fill="FFFFFF"/>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100.00</w:t>
            </w:r>
          </w:p>
        </w:tc>
        <w:tc>
          <w:tcPr>
            <w:tcW w:w="2266" w:type="dxa"/>
            <w:tcBorders>
              <w:top w:val="single" w:color="4F81BD" w:sz="8" w:space="0"/>
              <w:left w:val="dotted" w:color="auto" w:sz="4" w:space="0"/>
              <w:bottom w:val="single" w:color="4F81BD" w:sz="8" w:space="0"/>
              <w:right w:val="dotted" w:color="auto" w:sz="4" w:space="0"/>
            </w:tcBorders>
            <w:shd w:val="clear" w:color="auto" w:fill="FFFFFF"/>
          </w:tcPr>
          <w:p>
            <w:pPr>
              <w:spacing w:line="240" w:lineRule="auto"/>
              <w:ind w:firstLine="0" w:firstLineChars="0"/>
              <w:jc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eastAsia="zh-CN"/>
              </w:rPr>
              <w:t>计算机硬件与外设</w:t>
            </w:r>
          </w:p>
        </w:tc>
        <w:tc>
          <w:tcPr>
            <w:tcW w:w="1701" w:type="dxa"/>
            <w:tcBorders>
              <w:top w:val="single" w:color="4F81BD" w:sz="8" w:space="0"/>
              <w:left w:val="dotted" w:color="auto" w:sz="4" w:space="0"/>
              <w:bottom w:val="single" w:color="4F81BD" w:sz="8" w:space="0"/>
              <w:right w:val="single" w:color="4F81BD" w:sz="8" w:space="0"/>
            </w:tcBorders>
            <w:shd w:val="clear" w:color="auto" w:fill="FFFFFF"/>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77.78</w:t>
            </w:r>
          </w:p>
        </w:tc>
      </w:tr>
    </w:tbl>
    <w:p>
      <w:pPr>
        <w:pStyle w:val="19"/>
      </w:pPr>
    </w:p>
    <w:p>
      <w:pPr>
        <w:pStyle w:val="19"/>
      </w:pPr>
      <w:r>
        <w:rPr>
          <w:rFonts w:hint="eastAsia"/>
        </w:rPr>
        <w:t>数据来源</w:t>
      </w:r>
      <w:r>
        <w:t>：</w:t>
      </w:r>
      <w:r>
        <w:rPr>
          <w:rFonts w:hint="eastAsia"/>
        </w:rPr>
        <w:t>重庆市大学中专毕业生就业数据库。</w:t>
      </w:r>
    </w:p>
    <w:p>
      <w:pPr>
        <w:pStyle w:val="4"/>
        <w:spacing w:before="156" w:after="156"/>
        <w:ind w:left="240"/>
      </w:pPr>
      <w:bookmarkStart w:id="16" w:name="_Toc439953105"/>
      <w:bookmarkStart w:id="17" w:name="_Toc435711637"/>
      <w:r>
        <w:rPr>
          <w:rFonts w:hint="eastAsia"/>
        </w:rPr>
        <w:t>（三）各院系/</w:t>
      </w:r>
      <w:r>
        <w:t>专业</w:t>
      </w:r>
      <w:r>
        <w:rPr>
          <w:rFonts w:hint="eastAsia"/>
        </w:rPr>
        <w:t>的毕业去向</w:t>
      </w:r>
      <w:bookmarkEnd w:id="16"/>
      <w:bookmarkEnd w:id="17"/>
    </w:p>
    <w:tbl>
      <w:tblPr>
        <w:tblStyle w:val="20"/>
        <w:tblW w:w="9444" w:type="dxa"/>
        <w:jc w:val="center"/>
        <w:tblInd w:w="-792" w:type="dxa"/>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
      <w:tblGrid>
        <w:gridCol w:w="1415"/>
        <w:gridCol w:w="2805"/>
        <w:gridCol w:w="1245"/>
        <w:gridCol w:w="940"/>
        <w:gridCol w:w="1149"/>
        <w:gridCol w:w="930"/>
        <w:gridCol w:w="960"/>
      </w:tblGrid>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ascii="宋体" w:hAnsi="宋体" w:eastAsia="宋体" w:cs="宋体"/>
                <w:b w:val="0"/>
                <w:bCs/>
                <w:color w:val="FFFFFF"/>
                <w:sz w:val="22"/>
                <w:szCs w:val="22"/>
              </w:rPr>
            </w:pPr>
            <w:r>
              <w:rPr>
                <w:rFonts w:hint="eastAsia" w:ascii="宋体" w:hAnsi="宋体" w:eastAsia="宋体" w:cs="宋体"/>
                <w:b w:val="0"/>
                <w:bCs/>
                <w:color w:val="FFFFFF"/>
                <w:sz w:val="22"/>
                <w:szCs w:val="22"/>
              </w:rPr>
              <w:t>学院</w:t>
            </w:r>
          </w:p>
        </w:tc>
        <w:tc>
          <w:tcPr>
            <w:tcW w:w="2805"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ascii="宋体" w:hAnsi="宋体" w:eastAsia="宋体" w:cs="宋体"/>
                <w:b w:val="0"/>
                <w:bCs/>
                <w:color w:val="FFFFFF"/>
                <w:sz w:val="22"/>
                <w:szCs w:val="22"/>
              </w:rPr>
            </w:pPr>
            <w:r>
              <w:rPr>
                <w:rFonts w:hint="eastAsia" w:ascii="宋体" w:hAnsi="宋体" w:eastAsia="宋体" w:cs="宋体"/>
                <w:b w:val="0"/>
                <w:bCs/>
                <w:color w:val="FFFFFF"/>
                <w:sz w:val="22"/>
                <w:szCs w:val="22"/>
              </w:rPr>
              <w:t>专业</w:t>
            </w:r>
          </w:p>
        </w:tc>
        <w:tc>
          <w:tcPr>
            <w:tcW w:w="1245"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hint="eastAsia" w:ascii="宋体" w:hAnsi="宋体" w:eastAsia="宋体" w:cs="宋体"/>
                <w:b w:val="0"/>
                <w:bCs/>
                <w:color w:val="FFFFFF"/>
                <w:sz w:val="22"/>
                <w:szCs w:val="22"/>
                <w:lang w:eastAsia="zh-CN"/>
              </w:rPr>
            </w:pPr>
            <w:r>
              <w:rPr>
                <w:rFonts w:hint="eastAsia" w:ascii="宋体" w:hAnsi="宋体" w:eastAsia="宋体" w:cs="宋体"/>
                <w:b w:val="0"/>
                <w:bCs/>
                <w:color w:val="FFFFFF"/>
                <w:sz w:val="22"/>
                <w:szCs w:val="22"/>
                <w:lang w:eastAsia="zh-CN"/>
              </w:rPr>
              <w:t>单位就业（</w:t>
            </w:r>
            <w:r>
              <w:rPr>
                <w:rFonts w:hint="eastAsia" w:ascii="宋体" w:hAnsi="宋体" w:eastAsia="宋体" w:cs="宋体"/>
                <w:b w:val="0"/>
                <w:bCs/>
                <w:color w:val="FFFFFF"/>
                <w:sz w:val="22"/>
                <w:szCs w:val="22"/>
                <w:lang w:val="en-US" w:eastAsia="zh-CN"/>
              </w:rPr>
              <w:t>%</w:t>
            </w:r>
            <w:r>
              <w:rPr>
                <w:rFonts w:hint="eastAsia" w:ascii="宋体" w:hAnsi="宋体" w:eastAsia="宋体" w:cs="宋体"/>
                <w:b w:val="0"/>
                <w:bCs/>
                <w:color w:val="FFFFFF"/>
                <w:sz w:val="22"/>
                <w:szCs w:val="22"/>
                <w:lang w:eastAsia="zh-CN"/>
              </w:rPr>
              <w:t>）</w:t>
            </w:r>
          </w:p>
        </w:tc>
        <w:tc>
          <w:tcPr>
            <w:tcW w:w="940"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hint="eastAsia" w:ascii="宋体" w:hAnsi="宋体" w:eastAsia="宋体" w:cs="宋体"/>
                <w:b w:val="0"/>
                <w:bCs/>
                <w:color w:val="FFFFFF"/>
                <w:sz w:val="22"/>
                <w:szCs w:val="22"/>
                <w:lang w:eastAsia="zh-CN"/>
              </w:rPr>
            </w:pPr>
            <w:r>
              <w:rPr>
                <w:rFonts w:hint="eastAsia" w:ascii="宋体" w:hAnsi="宋体" w:eastAsia="宋体" w:cs="宋体"/>
                <w:b w:val="0"/>
                <w:bCs/>
                <w:color w:val="FFFFFF"/>
                <w:sz w:val="22"/>
                <w:szCs w:val="22"/>
                <w:lang w:eastAsia="zh-CN"/>
              </w:rPr>
              <w:t>升学</w:t>
            </w:r>
          </w:p>
          <w:p>
            <w:pPr>
              <w:spacing w:line="240" w:lineRule="auto"/>
              <w:ind w:firstLine="0" w:firstLineChars="0"/>
              <w:jc w:val="center"/>
              <w:rPr>
                <w:rFonts w:hint="eastAsia" w:ascii="宋体" w:hAnsi="宋体" w:eastAsia="宋体" w:cs="宋体"/>
                <w:b w:val="0"/>
                <w:bCs/>
                <w:color w:val="FFFFFF"/>
                <w:sz w:val="22"/>
                <w:szCs w:val="22"/>
                <w:lang w:eastAsia="zh-CN"/>
              </w:rPr>
            </w:pPr>
            <w:r>
              <w:rPr>
                <w:rFonts w:hint="eastAsia" w:ascii="宋体" w:hAnsi="宋体" w:eastAsia="宋体" w:cs="宋体"/>
                <w:b w:val="0"/>
                <w:bCs/>
                <w:color w:val="FFFFFF"/>
                <w:sz w:val="22"/>
                <w:szCs w:val="22"/>
                <w:lang w:eastAsia="zh-CN"/>
              </w:rPr>
              <w:t>（</w:t>
            </w:r>
            <w:r>
              <w:rPr>
                <w:rFonts w:hint="eastAsia" w:ascii="宋体" w:hAnsi="宋体" w:eastAsia="宋体" w:cs="宋体"/>
                <w:b w:val="0"/>
                <w:bCs/>
                <w:color w:val="FFFFFF"/>
                <w:sz w:val="22"/>
                <w:szCs w:val="22"/>
                <w:lang w:val="en-US" w:eastAsia="zh-CN"/>
              </w:rPr>
              <w:t>%</w:t>
            </w:r>
            <w:r>
              <w:rPr>
                <w:rFonts w:hint="eastAsia" w:ascii="宋体" w:hAnsi="宋体" w:eastAsia="宋体" w:cs="宋体"/>
                <w:b w:val="0"/>
                <w:bCs/>
                <w:color w:val="FFFFFF"/>
                <w:sz w:val="22"/>
                <w:szCs w:val="22"/>
                <w:lang w:eastAsia="zh-CN"/>
              </w:rPr>
              <w:t>）</w:t>
            </w:r>
          </w:p>
        </w:tc>
        <w:tc>
          <w:tcPr>
            <w:tcW w:w="1149"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hint="eastAsia" w:ascii="宋体" w:hAnsi="宋体" w:eastAsia="宋体" w:cs="宋体"/>
                <w:b w:val="0"/>
                <w:bCs/>
                <w:color w:val="FFFFFF"/>
                <w:sz w:val="22"/>
                <w:szCs w:val="22"/>
                <w:lang w:eastAsia="zh-CN"/>
              </w:rPr>
            </w:pPr>
            <w:r>
              <w:rPr>
                <w:rFonts w:hint="eastAsia" w:ascii="宋体" w:hAnsi="宋体" w:eastAsia="宋体" w:cs="宋体"/>
                <w:b w:val="0"/>
                <w:bCs/>
                <w:color w:val="FFFFFF"/>
                <w:sz w:val="22"/>
                <w:szCs w:val="22"/>
                <w:lang w:eastAsia="zh-CN"/>
              </w:rPr>
              <w:t>应征义务兵（</w:t>
            </w:r>
            <w:r>
              <w:rPr>
                <w:rFonts w:hint="eastAsia" w:ascii="宋体" w:hAnsi="宋体" w:eastAsia="宋体" w:cs="宋体"/>
                <w:b w:val="0"/>
                <w:bCs/>
                <w:color w:val="FFFFFF"/>
                <w:sz w:val="22"/>
                <w:szCs w:val="22"/>
                <w:lang w:val="en-US" w:eastAsia="zh-CN"/>
              </w:rPr>
              <w:t>%</w:t>
            </w:r>
            <w:r>
              <w:rPr>
                <w:rFonts w:hint="eastAsia" w:ascii="宋体" w:hAnsi="宋体" w:eastAsia="宋体" w:cs="宋体"/>
                <w:b w:val="0"/>
                <w:bCs/>
                <w:color w:val="FFFFFF"/>
                <w:sz w:val="22"/>
                <w:szCs w:val="22"/>
                <w:lang w:eastAsia="zh-CN"/>
              </w:rPr>
              <w:t>）</w:t>
            </w:r>
          </w:p>
        </w:tc>
        <w:tc>
          <w:tcPr>
            <w:tcW w:w="930"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hint="eastAsia" w:ascii="宋体" w:hAnsi="宋体" w:eastAsia="宋体" w:cs="宋体"/>
                <w:b w:val="0"/>
                <w:bCs/>
                <w:color w:val="FFFFFF"/>
                <w:sz w:val="22"/>
                <w:szCs w:val="22"/>
                <w:lang w:eastAsia="zh-CN"/>
              </w:rPr>
            </w:pPr>
            <w:r>
              <w:rPr>
                <w:rFonts w:hint="eastAsia" w:ascii="宋体" w:hAnsi="宋体" w:eastAsia="宋体" w:cs="宋体"/>
                <w:b w:val="0"/>
                <w:bCs/>
                <w:color w:val="FFFFFF"/>
                <w:sz w:val="22"/>
                <w:szCs w:val="22"/>
                <w:lang w:eastAsia="zh-CN"/>
              </w:rPr>
              <w:t>自主创业（</w:t>
            </w:r>
            <w:r>
              <w:rPr>
                <w:rFonts w:hint="eastAsia" w:ascii="宋体" w:hAnsi="宋体" w:eastAsia="宋体" w:cs="宋体"/>
                <w:b w:val="0"/>
                <w:bCs/>
                <w:color w:val="FFFFFF"/>
                <w:sz w:val="22"/>
                <w:szCs w:val="22"/>
                <w:lang w:val="en-US" w:eastAsia="zh-CN"/>
              </w:rPr>
              <w:t>%</w:t>
            </w:r>
            <w:r>
              <w:rPr>
                <w:rFonts w:hint="eastAsia" w:ascii="宋体" w:hAnsi="宋体" w:eastAsia="宋体" w:cs="宋体"/>
                <w:b w:val="0"/>
                <w:bCs/>
                <w:color w:val="FFFFFF"/>
                <w:sz w:val="22"/>
                <w:szCs w:val="22"/>
                <w:lang w:eastAsia="zh-CN"/>
              </w:rPr>
              <w:t>）</w:t>
            </w:r>
          </w:p>
        </w:tc>
        <w:tc>
          <w:tcPr>
            <w:tcW w:w="960"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hint="eastAsia" w:ascii="宋体" w:hAnsi="宋体" w:eastAsia="宋体" w:cs="宋体"/>
                <w:b w:val="0"/>
                <w:bCs/>
                <w:color w:val="FFFFFF"/>
                <w:sz w:val="22"/>
                <w:szCs w:val="22"/>
                <w:lang w:eastAsia="zh-CN"/>
              </w:rPr>
            </w:pPr>
            <w:r>
              <w:rPr>
                <w:rFonts w:hint="eastAsia" w:ascii="宋体" w:hAnsi="宋体" w:eastAsia="宋体" w:cs="宋体"/>
                <w:b w:val="0"/>
                <w:bCs/>
                <w:color w:val="FFFFFF"/>
                <w:sz w:val="22"/>
                <w:szCs w:val="22"/>
                <w:lang w:eastAsia="zh-CN"/>
              </w:rPr>
              <w:t>待就业</w:t>
            </w:r>
          </w:p>
          <w:p>
            <w:pPr>
              <w:spacing w:line="240" w:lineRule="auto"/>
              <w:ind w:firstLine="0" w:firstLineChars="0"/>
              <w:jc w:val="center"/>
              <w:rPr>
                <w:rFonts w:hint="eastAsia" w:ascii="宋体" w:hAnsi="宋体" w:eastAsia="宋体" w:cs="宋体"/>
                <w:b w:val="0"/>
                <w:bCs/>
                <w:color w:val="FFFFFF"/>
                <w:sz w:val="22"/>
                <w:szCs w:val="22"/>
                <w:lang w:eastAsia="zh-CN"/>
              </w:rPr>
            </w:pPr>
            <w:r>
              <w:rPr>
                <w:rFonts w:hint="eastAsia" w:ascii="宋体" w:hAnsi="宋体" w:eastAsia="宋体" w:cs="宋体"/>
                <w:b w:val="0"/>
                <w:bCs/>
                <w:color w:val="FFFFFF"/>
                <w:sz w:val="22"/>
                <w:szCs w:val="22"/>
                <w:lang w:eastAsia="zh-CN"/>
              </w:rPr>
              <w:t>（</w:t>
            </w:r>
            <w:r>
              <w:rPr>
                <w:rFonts w:hint="eastAsia" w:ascii="宋体" w:hAnsi="宋体" w:eastAsia="宋体" w:cs="宋体"/>
                <w:b w:val="0"/>
                <w:bCs/>
                <w:color w:val="FFFFFF"/>
                <w:sz w:val="22"/>
                <w:szCs w:val="22"/>
                <w:lang w:val="en-US" w:eastAsia="zh-CN"/>
              </w:rPr>
              <w:t>%</w:t>
            </w:r>
            <w:r>
              <w:rPr>
                <w:rFonts w:hint="eastAsia" w:ascii="宋体" w:hAnsi="宋体" w:eastAsia="宋体" w:cs="宋体"/>
                <w:b w:val="0"/>
                <w:bCs/>
                <w:color w:val="FFFFFF"/>
                <w:sz w:val="22"/>
                <w:szCs w:val="22"/>
                <w:lang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restart"/>
            <w:tcBorders>
              <w:top w:val="single" w:color="FFFFFF"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道路桥梁系</w:t>
            </w:r>
          </w:p>
        </w:tc>
        <w:tc>
          <w:tcPr>
            <w:tcW w:w="2805" w:type="dxa"/>
            <w:tcBorders>
              <w:top w:val="single" w:color="FFFFFF"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道路桥梁工程技术</w:t>
            </w:r>
          </w:p>
        </w:tc>
        <w:tc>
          <w:tcPr>
            <w:tcW w:w="1245" w:type="dxa"/>
            <w:tcBorders>
              <w:top w:val="single" w:color="FFFFFF"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90.92</w:t>
            </w:r>
          </w:p>
        </w:tc>
        <w:tc>
          <w:tcPr>
            <w:tcW w:w="940" w:type="dxa"/>
            <w:tcBorders>
              <w:top w:val="single" w:color="FFFFFF"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7.59</w:t>
            </w:r>
          </w:p>
        </w:tc>
        <w:tc>
          <w:tcPr>
            <w:tcW w:w="1149" w:type="dxa"/>
            <w:tcBorders>
              <w:top w:val="single" w:color="FFFFFF"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0.50</w:t>
            </w:r>
          </w:p>
        </w:tc>
        <w:tc>
          <w:tcPr>
            <w:tcW w:w="930" w:type="dxa"/>
            <w:tcBorders>
              <w:top w:val="single" w:color="FFFFFF"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0.17</w:t>
            </w:r>
          </w:p>
        </w:tc>
        <w:tc>
          <w:tcPr>
            <w:tcW w:w="960" w:type="dxa"/>
            <w:tcBorders>
              <w:top w:val="single" w:color="FFFFFF"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0.83</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工程测量与监理</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91.94</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6.45</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1.61</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道路桥梁工程检测技术</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100.00</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高等级公路维护与管理</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93.75</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6.25</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工程造价（道路桥梁造价）</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83.33</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16.67</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eastAsia="zh-CN"/>
              </w:rPr>
            </w:pPr>
            <w:r>
              <w:rPr>
                <w:rFonts w:hint="eastAsia" w:ascii="宋体" w:hAnsi="宋体" w:eastAsia="宋体" w:cs="宋体"/>
                <w:b/>
                <w:bCs w:val="0"/>
                <w:color w:val="000000"/>
                <w:sz w:val="22"/>
                <w:szCs w:val="22"/>
                <w:lang w:eastAsia="zh-CN"/>
              </w:rPr>
              <w:t>小计</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90.79</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7.72</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0.54</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0.14</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0.81</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铁道工程系</w:t>
            </w: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土木工程检测技术</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87.5</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11.36</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1.14</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建筑系</w:t>
            </w: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建筑设计技术</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93.78</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4.66</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1.04</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工程造价</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92.72</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4.80</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0.62</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0.62</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1.24</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建筑电气工程技术</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100.00</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建筑工程管理</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89.38</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3.77</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2.05</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4.79</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eastAsia="zh-CN"/>
              </w:rPr>
            </w:pPr>
            <w:r>
              <w:rPr>
                <w:rFonts w:hint="eastAsia" w:ascii="宋体" w:hAnsi="宋体" w:eastAsia="宋体" w:cs="宋体"/>
                <w:b/>
                <w:bCs w:val="0"/>
                <w:color w:val="000000"/>
                <w:sz w:val="22"/>
                <w:szCs w:val="22"/>
                <w:lang w:eastAsia="zh-CN"/>
              </w:rPr>
              <w:t>小计</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92.14</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4.45</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1.05</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0.35</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2.01</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车辆工程系</w:t>
            </w: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汽车检测与维修技术</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96.28</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2.66</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1.06</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汽车技术服务与营销</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98.82</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1.18</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汽车电子技术</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96.55</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3.45</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保险实务</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100.00</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bCs w:val="0"/>
                <w:color w:val="000000"/>
                <w:sz w:val="22"/>
                <w:szCs w:val="22"/>
                <w:lang w:eastAsia="zh-CN"/>
              </w:rPr>
            </w:pPr>
            <w:r>
              <w:rPr>
                <w:rFonts w:hint="eastAsia" w:ascii="宋体" w:hAnsi="宋体" w:eastAsia="宋体" w:cs="宋体"/>
                <w:b/>
                <w:bCs w:val="0"/>
                <w:color w:val="000000"/>
                <w:sz w:val="22"/>
                <w:szCs w:val="22"/>
                <w:lang w:eastAsia="zh-CN"/>
              </w:rPr>
              <w:t>小计</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97.14</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1.90</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0.95</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机电系</w:t>
            </w: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机械设计与制造</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98.18</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1.82</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河海系</w:t>
            </w: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港口与航运管理</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93.33</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3.33</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3.33</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航空系</w:t>
            </w: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空中乘务</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100.00</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物流管理（国际航空物流）</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89.66</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6.90</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3.45</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eastAsia="zh-CN"/>
              </w:rPr>
            </w:pPr>
            <w:r>
              <w:rPr>
                <w:rFonts w:hint="eastAsia" w:ascii="宋体" w:hAnsi="宋体" w:eastAsia="宋体" w:cs="宋体"/>
                <w:b/>
                <w:bCs w:val="0"/>
                <w:color w:val="000000"/>
                <w:sz w:val="22"/>
                <w:szCs w:val="22"/>
                <w:lang w:eastAsia="zh-CN"/>
              </w:rPr>
              <w:t>小计</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84.52</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2.38</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1.19</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交通运输系</w:t>
            </w: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城市交通运输</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87.93</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3.45</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8.62</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物流管理</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98.77</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1.23</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报关与国际货运</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97.56</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2.44</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eastAsia="zh-CN"/>
              </w:rPr>
            </w:pPr>
            <w:r>
              <w:rPr>
                <w:rFonts w:hint="eastAsia" w:ascii="宋体" w:hAnsi="宋体" w:eastAsia="宋体" w:cs="宋体"/>
                <w:b/>
                <w:bCs w:val="0"/>
                <w:color w:val="000000"/>
                <w:sz w:val="22"/>
                <w:szCs w:val="22"/>
                <w:lang w:eastAsia="zh-CN"/>
              </w:rPr>
              <w:t>小计</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95.00</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2.22</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2.78</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restart"/>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交通工程系</w:t>
            </w: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交通安全与智能控制</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90.91</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9.09</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计算机硬件与外设</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77.78</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22.22</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eastAsia="zh-CN"/>
              </w:rPr>
            </w:pPr>
            <w:r>
              <w:rPr>
                <w:rFonts w:hint="eastAsia" w:ascii="宋体" w:hAnsi="宋体" w:eastAsia="宋体" w:cs="宋体"/>
                <w:b w:val="0"/>
                <w:bCs/>
                <w:color w:val="000000"/>
                <w:sz w:val="22"/>
                <w:szCs w:val="22"/>
                <w:lang w:eastAsia="zh-CN"/>
              </w:rPr>
              <w:t>城市轨道交通控制</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92.94</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2.35</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w:t>
            </w: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B8CCE4"/>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4.71</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jc w:val="center"/>
        </w:trPr>
        <w:tc>
          <w:tcPr>
            <w:tcW w:w="1415" w:type="dxa"/>
            <w:vMerge w:val="continue"/>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rPr>
            </w:pPr>
          </w:p>
        </w:tc>
        <w:tc>
          <w:tcPr>
            <w:tcW w:w="280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eastAsia="zh-CN"/>
              </w:rPr>
            </w:pPr>
            <w:r>
              <w:rPr>
                <w:rFonts w:hint="eastAsia" w:ascii="宋体" w:hAnsi="宋体" w:eastAsia="宋体" w:cs="宋体"/>
                <w:b/>
                <w:bCs w:val="0"/>
                <w:color w:val="000000"/>
                <w:sz w:val="22"/>
                <w:szCs w:val="22"/>
                <w:lang w:eastAsia="zh-CN"/>
              </w:rPr>
              <w:t>小计</w:t>
            </w:r>
          </w:p>
        </w:tc>
        <w:tc>
          <w:tcPr>
            <w:tcW w:w="1245"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91.43</w:t>
            </w:r>
          </w:p>
        </w:tc>
        <w:tc>
          <w:tcPr>
            <w:tcW w:w="94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2.86</w:t>
            </w:r>
          </w:p>
        </w:tc>
        <w:tc>
          <w:tcPr>
            <w:tcW w:w="1149"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p>
        </w:tc>
        <w:tc>
          <w:tcPr>
            <w:tcW w:w="93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p>
        </w:tc>
        <w:tc>
          <w:tcPr>
            <w:tcW w:w="960" w:type="dxa"/>
            <w:tcBorders>
              <w:top w:val="single" w:color="4F81BD" w:sz="8" w:space="0"/>
              <w:left w:val="single" w:color="4F81BD" w:sz="8" w:space="0"/>
              <w:bottom w:val="single" w:color="4F81BD" w:sz="8" w:space="0"/>
              <w:right w:val="single" w:color="4F81BD" w:sz="8" w:space="0"/>
              <w:insideH w:val="single" w:sz="4" w:space="0"/>
              <w:insideV w:val="nil"/>
            </w:tcBorders>
            <w:shd w:val="clear" w:color="auto" w:fill="FFFFFF"/>
            <w:vAlign w:val="center"/>
          </w:tcPr>
          <w:p>
            <w:pPr>
              <w:spacing w:line="240" w:lineRule="auto"/>
              <w:ind w:firstLine="0" w:firstLineChars="0"/>
              <w:jc w:val="center"/>
              <w:rPr>
                <w:rFonts w:hint="eastAsia" w:ascii="宋体" w:hAnsi="宋体" w:eastAsia="宋体" w:cs="宋体"/>
                <w:b/>
                <w:bCs w:val="0"/>
                <w:color w:val="000000"/>
                <w:sz w:val="22"/>
                <w:szCs w:val="22"/>
                <w:lang w:val="en-US" w:eastAsia="zh-CN"/>
              </w:rPr>
            </w:pPr>
            <w:r>
              <w:rPr>
                <w:rFonts w:hint="eastAsia" w:ascii="宋体" w:hAnsi="宋体" w:eastAsia="宋体" w:cs="宋体"/>
                <w:b/>
                <w:bCs w:val="0"/>
                <w:color w:val="000000"/>
                <w:sz w:val="22"/>
                <w:szCs w:val="22"/>
                <w:lang w:val="en-US" w:eastAsia="zh-CN"/>
              </w:rPr>
              <w:t>5.71</w:t>
            </w:r>
          </w:p>
        </w:tc>
      </w:tr>
    </w:tbl>
    <w:p>
      <w:pPr>
        <w:pStyle w:val="19"/>
      </w:pPr>
    </w:p>
    <w:p>
      <w:pPr>
        <w:pStyle w:val="19"/>
      </w:pPr>
      <w:r>
        <w:rPr>
          <w:rFonts w:hint="eastAsia"/>
        </w:rPr>
        <w:t>数据来源</w:t>
      </w:r>
      <w:r>
        <w:t>：</w:t>
      </w:r>
      <w:r>
        <w:rPr>
          <w:rFonts w:hint="eastAsia"/>
        </w:rPr>
        <w:t>重庆市大学中专毕业生就业数据库。</w:t>
      </w:r>
    </w:p>
    <w:p>
      <w:pPr>
        <w:pStyle w:val="4"/>
        <w:spacing w:before="156" w:after="156"/>
        <w:ind w:left="240"/>
        <w:rPr>
          <w:rFonts w:hint="eastAsia"/>
        </w:rPr>
      </w:pPr>
      <w:bookmarkStart w:id="18" w:name="_Toc439953106"/>
    </w:p>
    <w:p>
      <w:pPr>
        <w:pStyle w:val="4"/>
        <w:spacing w:before="156" w:after="156"/>
        <w:ind w:left="240"/>
      </w:pPr>
      <w:r>
        <w:rPr>
          <w:rFonts w:hint="eastAsia"/>
        </w:rPr>
        <w:t>（四</w:t>
      </w:r>
      <w:r>
        <w:t>）</w:t>
      </w:r>
      <w:bookmarkStart w:id="19" w:name="_Toc421972552"/>
      <w:bookmarkStart w:id="20" w:name="_Toc406844398"/>
      <w:r>
        <w:rPr>
          <w:rFonts w:hint="eastAsia"/>
        </w:rPr>
        <w:t>未就业情况分析</w:t>
      </w:r>
      <w:bookmarkEnd w:id="18"/>
      <w:bookmarkEnd w:id="19"/>
      <w:bookmarkEnd w:id="20"/>
    </w:p>
    <w:p>
      <w:pPr>
        <w:ind w:firstLine="480"/>
      </w:pPr>
      <w:r>
        <w:rPr>
          <w:rFonts w:hint="eastAsia"/>
        </w:rPr>
        <w:t>我院201</w:t>
      </w:r>
      <w:r>
        <w:rPr>
          <w:rFonts w:hint="eastAsia"/>
          <w:lang w:val="en-US" w:eastAsia="zh-CN"/>
        </w:rPr>
        <w:t>6</w:t>
      </w:r>
      <w:r>
        <w:rPr>
          <w:rFonts w:hint="eastAsia"/>
        </w:rPr>
        <w:t>届毕业生</w:t>
      </w:r>
      <w:r>
        <w:t>有</w:t>
      </w:r>
      <w:r>
        <w:rPr>
          <w:rFonts w:hint="eastAsia"/>
        </w:rPr>
        <w:t>4</w:t>
      </w:r>
      <w:r>
        <w:rPr>
          <w:rFonts w:hint="eastAsia"/>
          <w:lang w:val="en-US" w:eastAsia="zh-CN"/>
        </w:rPr>
        <w:t>1</w:t>
      </w:r>
      <w:r>
        <w:rPr>
          <w:rFonts w:hint="eastAsia"/>
        </w:rPr>
        <w:t>名</w:t>
      </w:r>
      <w:r>
        <w:t>（</w:t>
      </w:r>
      <w:r>
        <w:rPr>
          <w:rFonts w:hint="eastAsia"/>
          <w:lang w:val="en-US" w:eastAsia="zh-CN"/>
        </w:rPr>
        <w:t>1.5</w:t>
      </w:r>
      <w:r>
        <w:rPr>
          <w:rFonts w:hint="eastAsia"/>
        </w:rPr>
        <w:t>0</w:t>
      </w:r>
      <w:r>
        <w:t>%</w:t>
      </w:r>
      <w:r>
        <w:rPr>
          <w:rFonts w:hint="eastAsia"/>
        </w:rPr>
        <w:t>）未就业</w:t>
      </w:r>
      <w:r>
        <w:t>，</w:t>
      </w:r>
      <w:r>
        <w:rPr>
          <w:rFonts w:hint="eastAsia"/>
        </w:rPr>
        <w:t>调查了解其未就业的原因，反馈结果如下图所示。</w:t>
      </w:r>
    </w:p>
    <w:p>
      <w:pPr>
        <w:pStyle w:val="18"/>
        <w:spacing w:before="312" w:after="156"/>
        <w:ind w:firstLine="482"/>
        <w:rPr>
          <w:rStyle w:val="21"/>
          <w:rFonts w:hint="eastAsia"/>
          <w:b/>
          <w:caps/>
          <w:sz w:val="24"/>
          <w:szCs w:val="24"/>
        </w:rPr>
      </w:pPr>
      <w:r>
        <w:rPr>
          <w:rFonts w:hint="eastAsia"/>
          <w:sz w:val="24"/>
          <w:szCs w:val="24"/>
        </w:rPr>
        <w:t>毕</w:t>
      </w:r>
      <w:r>
        <w:rPr>
          <w:rStyle w:val="21"/>
          <w:rFonts w:hint="eastAsia"/>
          <w:b/>
          <w:caps/>
          <w:sz w:val="24"/>
          <w:szCs w:val="24"/>
        </w:rPr>
        <w:t>业生未就业</w:t>
      </w:r>
      <w:r>
        <w:rPr>
          <w:rStyle w:val="21"/>
          <w:b/>
          <w:caps/>
          <w:sz w:val="24"/>
          <w:szCs w:val="24"/>
        </w:rPr>
        <w:t>的主要原因是</w:t>
      </w:r>
      <w:r>
        <w:rPr>
          <w:rStyle w:val="21"/>
          <w:b/>
          <w:caps/>
          <w:sz w:val="24"/>
          <w:szCs w:val="24"/>
        </w:rPr>
        <w:fldChar w:fldCharType="begin"/>
      </w:r>
      <w:r>
        <w:rPr>
          <w:rStyle w:val="21"/>
          <w:b/>
          <w:caps/>
          <w:sz w:val="24"/>
          <w:szCs w:val="24"/>
        </w:rPr>
        <w:instrText xml:space="preserve"> </w:instrText>
      </w:r>
      <w:r>
        <w:rPr>
          <w:rStyle w:val="21"/>
          <w:rFonts w:hint="eastAsia"/>
          <w:b/>
          <w:caps/>
          <w:sz w:val="24"/>
          <w:szCs w:val="24"/>
        </w:rPr>
        <w:instrText xml:space="preserve">LINK </w:instrText>
      </w:r>
      <w:r>
        <w:rPr>
          <w:rStyle w:val="21"/>
          <w:b/>
          <w:caps/>
          <w:sz w:val="24"/>
          <w:szCs w:val="24"/>
        </w:rPr>
        <w:instrText xml:space="preserve">Excel.Sheet.8</w:instrText>
      </w:r>
      <w:r>
        <w:rPr>
          <w:rStyle w:val="21"/>
          <w:rFonts w:hint="eastAsia"/>
          <w:b/>
          <w:caps/>
          <w:sz w:val="24"/>
          <w:szCs w:val="24"/>
        </w:rPr>
        <w:instrText xml:space="preserve"> D:\\duiwai\\对外单学历图.xls 文字性内容!R9C3 \a \t</w:instrText>
      </w:r>
      <w:r>
        <w:rPr>
          <w:rStyle w:val="21"/>
          <w:b/>
          <w:caps/>
          <w:sz w:val="24"/>
          <w:szCs w:val="24"/>
        </w:rPr>
        <w:instrText xml:space="preserve">  \* MERGEFORMAT </w:instrText>
      </w:r>
      <w:r>
        <w:rPr>
          <w:rStyle w:val="21"/>
          <w:b/>
          <w:caps/>
          <w:sz w:val="24"/>
          <w:szCs w:val="24"/>
        </w:rPr>
        <w:fldChar w:fldCharType="separate"/>
      </w:r>
      <w:r>
        <w:rPr>
          <w:rStyle w:val="21"/>
          <w:rFonts w:hint="eastAsia"/>
          <w:b/>
          <w:caps/>
          <w:sz w:val="24"/>
          <w:szCs w:val="24"/>
        </w:rPr>
        <w:t>没有找到满意的工作</w:t>
      </w:r>
      <w:r>
        <w:rPr>
          <w:rStyle w:val="21"/>
          <w:b/>
          <w:caps/>
          <w:sz w:val="24"/>
          <w:szCs w:val="24"/>
        </w:rPr>
        <w:fldChar w:fldCharType="end"/>
      </w:r>
      <w:r>
        <w:rPr>
          <w:rStyle w:val="21"/>
          <w:rFonts w:hint="eastAsia"/>
          <w:b/>
          <w:caps/>
          <w:sz w:val="24"/>
          <w:szCs w:val="24"/>
        </w:rPr>
        <w:t>，</w:t>
      </w:r>
      <w:r>
        <w:rPr>
          <w:rStyle w:val="21"/>
          <w:b/>
          <w:caps/>
          <w:sz w:val="24"/>
          <w:szCs w:val="24"/>
        </w:rPr>
        <w:t>比例高</w:t>
      </w:r>
      <w:r>
        <w:rPr>
          <w:rStyle w:val="21"/>
          <w:rFonts w:hint="eastAsia"/>
          <w:b/>
          <w:caps/>
          <w:sz w:val="24"/>
          <w:szCs w:val="24"/>
        </w:rPr>
        <w:t>达</w:t>
      </w:r>
      <w:r>
        <w:rPr>
          <w:rStyle w:val="21"/>
          <w:rFonts w:hint="eastAsia" w:ascii="Times New Roman" w:hAnsi="Times New Roman" w:cs="Times New Roman"/>
          <w:b/>
          <w:caps/>
          <w:sz w:val="24"/>
          <w:szCs w:val="24"/>
          <w:lang w:val="en-US"/>
        </w:rPr>
        <w:t>39.48</w:t>
      </w:r>
      <w:r>
        <w:rPr>
          <w:rStyle w:val="21"/>
          <w:rFonts w:ascii="Times New Roman" w:hAnsi="Times New Roman" w:cs="Times New Roman"/>
          <w:b/>
          <w:caps/>
          <w:sz w:val="24"/>
          <w:szCs w:val="24"/>
        </w:rPr>
        <w:t>%</w:t>
      </w:r>
      <w:r>
        <w:rPr>
          <w:rStyle w:val="21"/>
          <w:rFonts w:hint="eastAsia" w:ascii="Times New Roman" w:hAnsi="Times New Roman" w:cs="Times New Roman"/>
          <w:b/>
          <w:caps/>
          <w:sz w:val="24"/>
          <w:szCs w:val="24"/>
        </w:rPr>
        <w:t>，</w:t>
      </w:r>
      <w:r>
        <w:rPr>
          <w:rStyle w:val="21"/>
          <w:rFonts w:ascii="Times New Roman" w:hAnsi="Times New Roman" w:cs="Times New Roman"/>
          <w:b/>
          <w:caps/>
          <w:sz w:val="24"/>
          <w:szCs w:val="24"/>
        </w:rPr>
        <w:t>表明毕业生</w:t>
      </w:r>
      <w:r>
        <w:rPr>
          <w:rStyle w:val="21"/>
          <w:rFonts w:hint="eastAsia" w:ascii="Times New Roman" w:hAnsi="Times New Roman" w:cs="Times New Roman"/>
          <w:b/>
          <w:caps/>
          <w:sz w:val="24"/>
          <w:szCs w:val="24"/>
        </w:rPr>
        <w:t>的工作预期较高</w:t>
      </w:r>
      <w:r>
        <w:rPr>
          <w:rStyle w:val="21"/>
          <w:rFonts w:hint="eastAsia"/>
          <w:b/>
          <w:caps/>
          <w:sz w:val="24"/>
          <w:szCs w:val="24"/>
        </w:rPr>
        <w:t>；</w:t>
      </w:r>
      <w:r>
        <w:rPr>
          <w:rStyle w:val="21"/>
          <w:b/>
          <w:caps/>
          <w:sz w:val="24"/>
          <w:szCs w:val="24"/>
        </w:rPr>
        <w:t>有</w:t>
      </w:r>
      <w:r>
        <w:rPr>
          <w:rStyle w:val="21"/>
          <w:rFonts w:hint="eastAsia"/>
          <w:b/>
          <w:caps/>
          <w:sz w:val="24"/>
          <w:szCs w:val="24"/>
          <w:lang w:val="en-US"/>
        </w:rPr>
        <w:t>26.32</w:t>
      </w:r>
      <w:r>
        <w:rPr>
          <w:rStyle w:val="21"/>
          <w:rFonts w:ascii="Times New Roman" w:hAnsi="Times New Roman" w:cs="Times New Roman"/>
          <w:b/>
          <w:caps/>
          <w:sz w:val="24"/>
          <w:szCs w:val="24"/>
        </w:rPr>
        <w:t>%</w:t>
      </w:r>
      <w:r>
        <w:rPr>
          <w:rStyle w:val="21"/>
          <w:rFonts w:hint="eastAsia"/>
          <w:b/>
          <w:caps/>
          <w:sz w:val="24"/>
          <w:szCs w:val="24"/>
        </w:rPr>
        <w:t>的毕业生表示找不到工作，体现出学生较为消极的就业状态；</w:t>
      </w:r>
      <w:r>
        <w:rPr>
          <w:rStyle w:val="21"/>
          <w:rFonts w:hint="eastAsia"/>
          <w:b/>
          <w:caps/>
          <w:sz w:val="24"/>
          <w:szCs w:val="24"/>
          <w:lang w:val="en-US"/>
        </w:rPr>
        <w:t>18.42</w:t>
      </w:r>
      <w:r>
        <w:rPr>
          <w:rStyle w:val="21"/>
          <w:b/>
          <w:caps/>
          <w:sz w:val="24"/>
          <w:szCs w:val="24"/>
        </w:rPr>
        <w:t>%</w:t>
      </w:r>
      <w:r>
        <w:rPr>
          <w:rStyle w:val="21"/>
          <w:rFonts w:hint="eastAsia"/>
          <w:b/>
          <w:caps/>
          <w:sz w:val="24"/>
          <w:szCs w:val="24"/>
        </w:rPr>
        <w:t>的毕业生选择了暂不就业；其中准备公务员或其他考试以及职业资格考试的比例各占</w:t>
      </w:r>
      <w:r>
        <w:rPr>
          <w:rStyle w:val="21"/>
          <w:rFonts w:hint="eastAsia"/>
          <w:b/>
          <w:caps/>
          <w:sz w:val="24"/>
          <w:szCs w:val="24"/>
          <w:lang w:val="en-US"/>
        </w:rPr>
        <w:t>2.63%、7.89%</w:t>
      </w:r>
      <w:r>
        <w:rPr>
          <w:rStyle w:val="21"/>
          <w:rFonts w:hint="eastAsia"/>
          <w:b/>
          <w:caps/>
          <w:sz w:val="24"/>
          <w:szCs w:val="24"/>
        </w:rPr>
        <w:t>。由此可以预见，随着时间的推移，成功就业的毕业生人数仍会有所上升。</w:t>
      </w:r>
    </w:p>
    <w:p>
      <w:pPr>
        <w:jc w:val="center"/>
      </w:pPr>
      <w:r>
        <w:drawing>
          <wp:inline distT="0" distB="0" distL="114300" distR="114300">
            <wp:extent cx="4318000" cy="2829560"/>
            <wp:effectExtent l="4445" t="4445" r="20955" b="23495"/>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before="156" w:beforeLines="50"/>
        <w:ind w:firstLine="0" w:firstLineChars="0"/>
        <w:rPr>
          <w:rFonts w:ascii="Times New Roman" w:hAnsi="Times New Roman" w:cs="宋体"/>
          <w:color w:val="000000" w:themeColor="text1"/>
          <w:sz w:val="18"/>
          <w:szCs w:val="18"/>
          <w14:textFill>
            <w14:solidFill>
              <w14:schemeClr w14:val="tx1"/>
            </w14:solidFill>
          </w14:textFill>
        </w:rPr>
      </w:pPr>
      <w:r>
        <w:rPr>
          <w:rFonts w:hint="eastAsia" w:ascii="Times New Roman" w:hAnsi="Times New Roman" w:cs="宋体"/>
          <w:color w:val="000000" w:themeColor="text1"/>
          <w:sz w:val="18"/>
          <w:szCs w:val="18"/>
          <w14:textFill>
            <w14:solidFill>
              <w14:schemeClr w14:val="tx1"/>
            </w14:solidFill>
          </w14:textFill>
        </w:rPr>
        <w:t>数据来源：</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rPr>
          <w:rFonts w:ascii="Times New Roman" w:hAnsi="Times New Roman" w:cs="宋体"/>
          <w:color w:val="000000" w:themeColor="text1"/>
          <w:sz w:val="18"/>
          <w:szCs w:val="18"/>
          <w14:textFill>
            <w14:solidFill>
              <w14:schemeClr w14:val="tx1"/>
            </w14:solidFill>
          </w14:textFill>
        </w:rPr>
        <w:t>。</w:t>
      </w:r>
    </w:p>
    <w:p>
      <w:pPr>
        <w:spacing w:before="100" w:after="200" w:line="276" w:lineRule="auto"/>
        <w:ind w:firstLine="0" w:firstLineChars="0"/>
        <w:rPr>
          <w:rFonts w:ascii="Times New Roman" w:hAnsi="Times New Roman" w:cs="宋体"/>
          <w:color w:val="000000" w:themeColor="text1"/>
          <w:sz w:val="18"/>
          <w:szCs w:val="18"/>
          <w14:textFill>
            <w14:solidFill>
              <w14:schemeClr w14:val="tx1"/>
            </w14:solidFill>
          </w14:textFill>
        </w:rPr>
      </w:pPr>
      <w:r>
        <w:rPr>
          <w:rFonts w:ascii="Times New Roman" w:hAnsi="Times New Roman" w:cs="宋体"/>
          <w:color w:val="000000" w:themeColor="text1"/>
          <w:sz w:val="18"/>
          <w:szCs w:val="18"/>
          <w14:textFill>
            <w14:solidFill>
              <w14:schemeClr w14:val="tx1"/>
            </w14:solidFill>
          </w14:textFill>
        </w:rPr>
        <w:br w:type="page"/>
      </w:r>
    </w:p>
    <w:p>
      <w:pPr>
        <w:pStyle w:val="3"/>
      </w:pPr>
      <w:bookmarkStart w:id="21" w:name="_Toc439953107"/>
      <w:r>
        <w:rPr>
          <w:rFonts w:hint="eastAsia"/>
        </w:rPr>
        <w:t>三</w:t>
      </w:r>
      <w:r>
        <w:t>、</w:t>
      </w:r>
      <w:r>
        <w:rPr>
          <w:rFonts w:hint="eastAsia"/>
        </w:rPr>
        <w:t>就业流向</w:t>
      </w:r>
      <w:bookmarkEnd w:id="21"/>
    </w:p>
    <w:p>
      <w:pPr>
        <w:pStyle w:val="4"/>
        <w:spacing w:before="156" w:after="156"/>
        <w:ind w:left="240"/>
      </w:pPr>
      <w:bookmarkStart w:id="22" w:name="_Toc439953108"/>
      <w:r>
        <w:rPr>
          <w:rFonts w:hint="eastAsia"/>
        </w:rPr>
        <w:t>（一</w:t>
      </w:r>
      <w:r>
        <w:t>）</w:t>
      </w:r>
      <w:r>
        <w:rPr>
          <w:rFonts w:hint="eastAsia"/>
        </w:rPr>
        <w:t>单位就业</w:t>
      </w:r>
      <w:r>
        <w:rPr>
          <w:rStyle w:val="14"/>
        </w:rPr>
        <w:footnoteReference w:id="0"/>
      </w:r>
      <w:bookmarkEnd w:id="22"/>
    </w:p>
    <w:p>
      <w:pPr>
        <w:pStyle w:val="5"/>
        <w:spacing w:before="312" w:after="312"/>
        <w:ind w:left="480"/>
      </w:pPr>
      <w:bookmarkStart w:id="23" w:name="_Toc427050513"/>
      <w:r>
        <w:t>1.</w:t>
      </w:r>
      <w:r>
        <w:rPr>
          <w:rFonts w:hint="eastAsia"/>
        </w:rPr>
        <w:t>就业地区流向</w:t>
      </w:r>
      <w:bookmarkEnd w:id="23"/>
    </w:p>
    <w:p>
      <w:pPr>
        <w:pStyle w:val="22"/>
        <w:spacing w:before="156" w:after="156"/>
        <w:ind w:left="480"/>
      </w:pPr>
      <w:r>
        <w:rPr>
          <w:rFonts w:hint="eastAsia"/>
        </w:rPr>
        <w:t>（1）总体就业地区分布</w:t>
      </w:r>
    </w:p>
    <w:p>
      <w:pPr>
        <w:pStyle w:val="18"/>
        <w:spacing w:before="312" w:after="156"/>
        <w:ind w:firstLine="482"/>
        <w:rPr>
          <w:sz w:val="24"/>
          <w:szCs w:val="24"/>
        </w:rPr>
      </w:pPr>
      <w:r>
        <w:rPr>
          <w:rFonts w:hint="eastAsia"/>
          <w:sz w:val="24"/>
          <w:szCs w:val="24"/>
        </w:rPr>
        <w:t>学校201</w:t>
      </w:r>
      <w:r>
        <w:rPr>
          <w:rFonts w:hint="eastAsia"/>
          <w:sz w:val="24"/>
          <w:szCs w:val="24"/>
          <w:lang w:val="en-US" w:eastAsia="zh-CN"/>
        </w:rPr>
        <w:t>6</w:t>
      </w:r>
      <w:r>
        <w:rPr>
          <w:rFonts w:hint="eastAsia"/>
          <w:sz w:val="24"/>
          <w:szCs w:val="24"/>
        </w:rPr>
        <w:t>届选择单位就业的</w:t>
      </w:r>
      <w:r>
        <w:rPr>
          <w:sz w:val="24"/>
          <w:szCs w:val="24"/>
        </w:rPr>
        <w:t>毕业生</w:t>
      </w:r>
      <w:r>
        <w:rPr>
          <w:rFonts w:hint="eastAsia"/>
          <w:sz w:val="24"/>
          <w:szCs w:val="24"/>
        </w:rPr>
        <w:t>中</w:t>
      </w:r>
      <w:r>
        <w:rPr>
          <w:sz w:val="24"/>
          <w:szCs w:val="24"/>
        </w:rPr>
        <w:t>，有</w:t>
      </w:r>
      <w:r>
        <w:rPr>
          <w:rFonts w:hint="eastAsia"/>
          <w:sz w:val="24"/>
          <w:szCs w:val="24"/>
          <w:lang w:val="en-US" w:eastAsia="zh-CN"/>
        </w:rPr>
        <w:t>61.92</w:t>
      </w:r>
      <w:r>
        <w:rPr>
          <w:rFonts w:hint="eastAsia"/>
          <w:sz w:val="24"/>
          <w:szCs w:val="24"/>
        </w:rPr>
        <w:t>%毕业生选择在重庆市内工作，服务</w:t>
      </w:r>
      <w:r>
        <w:rPr>
          <w:sz w:val="24"/>
          <w:szCs w:val="24"/>
        </w:rPr>
        <w:t>地方经济发展</w:t>
      </w:r>
      <w:r>
        <w:rPr>
          <w:rFonts w:hint="eastAsia"/>
          <w:sz w:val="24"/>
          <w:szCs w:val="24"/>
        </w:rPr>
        <w:t>；市</w:t>
      </w:r>
      <w:r>
        <w:rPr>
          <w:sz w:val="24"/>
          <w:szCs w:val="24"/>
        </w:rPr>
        <w:t>内</w:t>
      </w:r>
      <w:r>
        <w:rPr>
          <w:rFonts w:hint="eastAsia"/>
          <w:sz w:val="24"/>
          <w:szCs w:val="24"/>
        </w:rPr>
        <w:t>就业</w:t>
      </w:r>
      <w:r>
        <w:rPr>
          <w:sz w:val="24"/>
          <w:szCs w:val="24"/>
        </w:rPr>
        <w:t>主要</w:t>
      </w:r>
      <w:r>
        <w:rPr>
          <w:rFonts w:hint="eastAsia"/>
          <w:sz w:val="24"/>
          <w:szCs w:val="24"/>
        </w:rPr>
        <w:t>流向渝北区</w:t>
      </w:r>
    </w:p>
    <w:p>
      <w:pPr>
        <w:ind w:firstLine="0" w:firstLineChars="0"/>
        <w:jc w:val="left"/>
      </w:pPr>
      <w:r>
        <mc:AlternateContent>
          <mc:Choice Requires="wps">
            <w:drawing>
              <wp:anchor distT="0" distB="0" distL="114300" distR="114300" simplePos="0" relativeHeight="251668480" behindDoc="0" locked="0" layoutInCell="1" allowOverlap="1">
                <wp:simplePos x="0" y="0"/>
                <wp:positionH relativeFrom="column">
                  <wp:posOffset>5010150</wp:posOffset>
                </wp:positionH>
                <wp:positionV relativeFrom="paragraph">
                  <wp:posOffset>1590040</wp:posOffset>
                </wp:positionV>
                <wp:extent cx="428625" cy="466725"/>
                <wp:effectExtent l="0" t="0" r="9525" b="9525"/>
                <wp:wrapNone/>
                <wp:docPr id="6" name="文本框 6"/>
                <wp:cNvGraphicFramePr/>
                <a:graphic xmlns:a="http://schemas.openxmlformats.org/drawingml/2006/main">
                  <a:graphicData uri="http://schemas.microsoft.com/office/word/2010/wordprocessingShape">
                    <wps:wsp>
                      <wps:cNvSpPr txBox="1"/>
                      <wps:spPr>
                        <a:xfrm>
                          <a:off x="0" y="0"/>
                          <a:ext cx="42862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rFonts w:cs="Times New Roman" w:asciiTheme="minorEastAsia" w:hAnsiTheme="minorEastAsia"/>
                              </w:rPr>
                            </w:pPr>
                            <w:r>
                              <w:rPr>
                                <w:rFonts w:hint="eastAsia" w:cs="Times New Roman" w:asciiTheme="minorEastAsia" w:hAnsiTheme="minorEastAsia"/>
                              </w:rPr>
                              <w:t>(</w:t>
                            </w:r>
                            <w:r>
                              <w:rPr>
                                <w:rFonts w:cs="Times New Roman" w:asciiTheme="minorEastAsia" w:hAnsiTheme="minor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5pt;margin-top:125.2pt;height:36.75pt;width:33.75pt;z-index:251668480;mso-width-relative:page;mso-height-relative:page;" fillcolor="#FFFFFF [3201]" filled="t" stroked="f" coordsize="21600,21600" o:gfxdata="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u37wLYAAAACwEAAA8AAAAAAAAAAQAgAAAAIgAAAGRycy9kb3du&#10;cmV2LnhtbFBLAQIUABQAAAAIAIdO4kDJafZnOAIAAE4EAAAOAAAAAAAAAAEAIAAAACcBAABkcnMv&#10;ZTJvRG9jLnhtbFBLBQYAAAAABgAGAFkBAADRBQAAAAA=&#10;">
                <v:fill on="t" focussize="0,0"/>
                <v:stroke on="f" weight="0.5pt"/>
                <v:imagedata o:title=""/>
                <o:lock v:ext="edit" aspectratio="f"/>
                <v:textbox>
                  <w:txbxContent>
                    <w:p>
                      <w:pPr>
                        <w:ind w:firstLine="0" w:firstLineChars="0"/>
                        <w:rPr>
                          <w:rFonts w:cs="Times New Roman" w:asciiTheme="minorEastAsia" w:hAnsiTheme="minorEastAsia"/>
                        </w:rPr>
                      </w:pPr>
                      <w:r>
                        <w:rPr>
                          <w:rFonts w:hint="eastAsia" w:cs="Times New Roman" w:asciiTheme="minorEastAsia" w:hAnsiTheme="minorEastAsia"/>
                        </w:rPr>
                        <w:t>(</w:t>
                      </w:r>
                      <w:r>
                        <w:rPr>
                          <w:rFonts w:cs="Times New Roman" w:asciiTheme="minorEastAsia" w:hAnsiTheme="minorEastAsia"/>
                        </w:rPr>
                        <w:t>%)</w:t>
                      </w:r>
                    </w:p>
                  </w:txbxContent>
                </v:textbox>
              </v:shape>
            </w:pict>
          </mc:Fallback>
        </mc:AlternateContent>
      </w:r>
      <w:r>
        <w:drawing>
          <wp:inline distT="0" distB="0" distL="114300" distR="114300">
            <wp:extent cx="1918970" cy="2143760"/>
            <wp:effectExtent l="4445" t="5080" r="19685" b="2286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hint="eastAsia"/>
        </w:rPr>
        <w:t xml:space="preserve">  </w:t>
      </w:r>
      <w:r>
        <w:drawing>
          <wp:inline distT="0" distB="0" distL="114300" distR="114300">
            <wp:extent cx="2880995" cy="2172970"/>
            <wp:effectExtent l="4445" t="5080" r="10160" b="1270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9"/>
      </w:pPr>
      <w:r>
        <w:rPr>
          <w:rFonts w:hint="eastAsia"/>
        </w:rPr>
        <w:t>注：</w:t>
      </w:r>
      <w:r>
        <w:t>1.</w:t>
      </w:r>
      <w:r>
        <w:rPr>
          <w:rFonts w:hint="eastAsia"/>
        </w:rPr>
        <w:t>左图</w:t>
      </w:r>
      <w:r>
        <w:t>为重庆</w:t>
      </w:r>
      <w:r>
        <w:rPr>
          <w:rFonts w:hint="eastAsia"/>
        </w:rPr>
        <w:t>市内就业和</w:t>
      </w:r>
      <w:r>
        <w:t>市外就业的毕业生人数比例；右图为重庆市内各区县</w:t>
      </w:r>
      <w:r>
        <w:rPr>
          <w:rFonts w:hint="eastAsia"/>
        </w:rPr>
        <w:t>毕业生</w:t>
      </w:r>
      <w:r>
        <w:t>就业比例，选取的区县为样本量大于</w:t>
      </w:r>
      <w:r>
        <w:rPr>
          <w:rFonts w:hint="eastAsia"/>
        </w:rPr>
        <w:t>40的</w:t>
      </w:r>
      <w:r>
        <w:t>地区。</w:t>
      </w:r>
    </w:p>
    <w:p>
      <w:pPr>
        <w:pStyle w:val="19"/>
        <w:rPr>
          <w:rFonts w:cs="宋体"/>
          <w:color w:val="000000" w:themeColor="text1"/>
          <w:szCs w:val="18"/>
          <w14:textFill>
            <w14:solidFill>
              <w14:schemeClr w14:val="tx1"/>
            </w14:solidFill>
          </w14:textFill>
        </w:rPr>
      </w:pPr>
      <w:r>
        <w:rPr>
          <w:rFonts w:hint="eastAsia" w:cs="宋体"/>
          <w:color w:val="000000" w:themeColor="text1"/>
          <w:szCs w:val="18"/>
          <w14:textFill>
            <w14:solidFill>
              <w14:schemeClr w14:val="tx1"/>
            </w14:solidFill>
          </w14:textFill>
        </w:rPr>
        <w:t>数据来源：重庆市大学中专毕业生就业数据库。</w:t>
      </w:r>
    </w:p>
    <w:p>
      <w:pPr>
        <w:ind w:firstLine="480"/>
      </w:pPr>
    </w:p>
    <w:p>
      <w:pPr>
        <w:pStyle w:val="22"/>
        <w:spacing w:before="156" w:after="156"/>
        <w:ind w:left="480"/>
      </w:pPr>
      <w:r>
        <w:rPr>
          <w:rFonts w:hint="eastAsia"/>
        </w:rPr>
        <w:t>（2）不同生源毕业生就业地区分布</w:t>
      </w:r>
    </w:p>
    <w:p>
      <w:pPr>
        <w:pStyle w:val="18"/>
        <w:spacing w:before="312" w:after="156"/>
        <w:ind w:firstLine="482"/>
        <w:jc w:val="both"/>
        <w:rPr>
          <w:sz w:val="24"/>
          <w:szCs w:val="24"/>
        </w:rPr>
      </w:pPr>
      <w:r>
        <w:rPr>
          <w:rFonts w:hint="eastAsia"/>
          <w:sz w:val="24"/>
          <w:szCs w:val="24"/>
        </w:rPr>
        <w:t>学校绝大多数重庆本市</w:t>
      </w:r>
      <w:r>
        <w:rPr>
          <w:sz w:val="24"/>
          <w:szCs w:val="24"/>
        </w:rPr>
        <w:t>生源</w:t>
      </w:r>
      <w:r>
        <w:rPr>
          <w:rFonts w:hint="eastAsia"/>
          <w:sz w:val="24"/>
          <w:szCs w:val="24"/>
        </w:rPr>
        <w:t>毕业生留在本市工作（</w:t>
      </w:r>
      <w:r>
        <w:rPr>
          <w:rFonts w:hint="eastAsia" w:ascii="Times New Roman" w:hAnsi="Times New Roman" w:cs="Times New Roman"/>
          <w:sz w:val="24"/>
          <w:szCs w:val="24"/>
          <w:lang w:val="en-US" w:eastAsia="zh-CN"/>
        </w:rPr>
        <w:t>71.92</w:t>
      </w:r>
      <w:r>
        <w:rPr>
          <w:rFonts w:ascii="Times New Roman" w:hAnsi="Times New Roman" w:cs="Times New Roman"/>
          <w:sz w:val="24"/>
          <w:szCs w:val="24"/>
        </w:rPr>
        <w:t>%</w:t>
      </w:r>
      <w:r>
        <w:rPr>
          <w:sz w:val="24"/>
          <w:szCs w:val="24"/>
        </w:rPr>
        <w:t>）</w:t>
      </w:r>
      <w:r>
        <w:rPr>
          <w:rFonts w:hint="eastAsia"/>
          <w:sz w:val="24"/>
          <w:szCs w:val="24"/>
        </w:rPr>
        <w:t>；市外生源毕业生</w:t>
      </w:r>
      <w:r>
        <w:rPr>
          <w:rFonts w:hint="eastAsia"/>
          <w:sz w:val="24"/>
          <w:szCs w:val="24"/>
          <w:lang w:eastAsia="zh-CN"/>
        </w:rPr>
        <w:t>则优先选择回生源地就业（</w:t>
      </w:r>
      <w:r>
        <w:rPr>
          <w:rFonts w:hint="default" w:ascii="Times New Roman" w:hAnsi="Times New Roman" w:cs="Times New Roman"/>
          <w:sz w:val="24"/>
          <w:szCs w:val="24"/>
          <w:lang w:val="en-US" w:eastAsia="zh-CN"/>
        </w:rPr>
        <w:t>39.43%</w:t>
      </w:r>
      <w:r>
        <w:rPr>
          <w:rFonts w:hint="eastAsia"/>
          <w:sz w:val="24"/>
          <w:szCs w:val="24"/>
          <w:lang w:eastAsia="zh-CN"/>
        </w:rPr>
        <w:t>）</w:t>
      </w:r>
      <w:r>
        <w:rPr>
          <w:rFonts w:hint="eastAsia"/>
          <w:sz w:val="24"/>
          <w:szCs w:val="24"/>
        </w:rPr>
        <w:t>，其次</w:t>
      </w:r>
      <w:r>
        <w:rPr>
          <w:rFonts w:hint="eastAsia"/>
          <w:sz w:val="24"/>
          <w:szCs w:val="24"/>
          <w:lang w:eastAsia="zh-CN"/>
        </w:rPr>
        <w:t>选择留在本市就业——学校所在地重庆就业（</w:t>
      </w:r>
      <w:r>
        <w:rPr>
          <w:rFonts w:hint="default" w:ascii="Times New Roman" w:hAnsi="Times New Roman" w:cs="Times New Roman"/>
          <w:sz w:val="24"/>
          <w:szCs w:val="24"/>
          <w:lang w:val="en-US" w:eastAsia="zh-CN"/>
        </w:rPr>
        <w:t>33.52%</w:t>
      </w:r>
      <w:r>
        <w:rPr>
          <w:rFonts w:hint="eastAsia"/>
          <w:sz w:val="24"/>
          <w:szCs w:val="24"/>
          <w:lang w:eastAsia="zh-CN"/>
        </w:rPr>
        <w:t>）。</w:t>
      </w:r>
    </w:p>
    <w:p>
      <w:pPr>
        <w:ind w:firstLine="0" w:firstLineChars="0"/>
      </w:pPr>
      <w:r>
        <w:rPr>
          <w:sz w:val="24"/>
        </w:rPr>
        <mc:AlternateContent>
          <mc:Choice Requires="wps">
            <w:drawing>
              <wp:anchor distT="0" distB="0" distL="114300" distR="114300" simplePos="0" relativeHeight="251702272" behindDoc="0" locked="0" layoutInCell="1" allowOverlap="1">
                <wp:simplePos x="0" y="0"/>
                <wp:positionH relativeFrom="column">
                  <wp:posOffset>4477385</wp:posOffset>
                </wp:positionH>
                <wp:positionV relativeFrom="paragraph">
                  <wp:posOffset>2178050</wp:posOffset>
                </wp:positionV>
                <wp:extent cx="628650" cy="43815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62865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55pt;margin-top:171.5pt;height:34.5pt;width:49.5pt;z-index:251702272;mso-width-relative:page;mso-height-relative:page;" filled="f" stroked="f" coordsize="21600,21600" o:gfxdata="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ApWXXb&#10;AAAACwEAAA8AAAAAAAAAAQAgAAAAIgAAAGRycy9kb3ducmV2LnhtbFBLAQIUABQAAAAIAIdO4kAz&#10;Cl7zHQIAABkEAAAOAAAAAAAAAAEAIAAAACoBAABkcnMvZTJvRG9jLnhtbFBLBQYAAAAABgAGAFkB&#10;AAC5BQAAAAA=&#10;">
                <v:fill on="f" focussize="0,0"/>
                <v:stroke on="f" weight="0.5pt"/>
                <v:imagedata o:title=""/>
                <o:lock v:ext="edit" aspectratio="f"/>
                <v:textbox>
                  <w:txbxContent>
                    <w:p>
                      <w:p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w:t>
                      </w:r>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1438910</wp:posOffset>
                </wp:positionH>
                <wp:positionV relativeFrom="paragraph">
                  <wp:posOffset>2225675</wp:posOffset>
                </wp:positionV>
                <wp:extent cx="628650" cy="438150"/>
                <wp:effectExtent l="0" t="0" r="0" b="0"/>
                <wp:wrapNone/>
                <wp:docPr id="23" name="文本框 23"/>
                <wp:cNvGraphicFramePr/>
                <a:graphic xmlns:a="http://schemas.openxmlformats.org/drawingml/2006/main">
                  <a:graphicData uri="http://schemas.microsoft.com/office/word/2010/wordprocessingShape">
                    <wps:wsp>
                      <wps:cNvSpPr txBox="1"/>
                      <wps:spPr>
                        <a:xfrm>
                          <a:off x="1525270" y="3311525"/>
                          <a:ext cx="62865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3pt;margin-top:175.25pt;height:34.5pt;width:49.5pt;z-index:251679744;mso-width-relative:page;mso-height-relative:page;" filled="f" stroked="f" coordsize="21600,21600" o:gfxdata="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Tf/VU3AAAAAsBAAAPAAAAAAAAAAEAIAAAACIAAABkcnMvZG93bnJldi54bWxQSwECFAAU&#10;AAAACACHTuJAiVD6RSYCAAAlBAAADgAAAAAAAAABACAAAAArAQAAZHJzL2Uyb0RvYy54bWxQSwUG&#10;AAAAAAYABgBZAQAAwwUAAAAA&#10;">
                <v:fill on="f" focussize="0,0"/>
                <v:stroke on="f" weight="0.5pt"/>
                <v:imagedata o:title=""/>
                <o:lock v:ext="edit" aspectratio="f"/>
                <v:textbox>
                  <w:txbxContent>
                    <w:p>
                      <w:p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w:t>
                      </w:r>
                    </w:p>
                  </w:txbxContent>
                </v:textbox>
              </v:shape>
            </w:pict>
          </mc:Fallback>
        </mc:AlternateContent>
      </w:r>
      <w:r>
        <w:drawing>
          <wp:inline distT="0" distB="0" distL="114300" distR="114300">
            <wp:extent cx="2110740" cy="2107565"/>
            <wp:effectExtent l="4445" t="4445" r="18415" b="2159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eastAsia"/>
        </w:rPr>
        <w:t xml:space="preserve"> </w:t>
      </w:r>
      <w:r>
        <w:rPr>
          <w:rFonts w:hint="eastAsia"/>
        </w:rPr>
        <w:drawing>
          <wp:inline distT="0" distB="0" distL="114300" distR="114300">
            <wp:extent cx="2957830" cy="2573020"/>
            <wp:effectExtent l="4445" t="4445" r="9525" b="1333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hint="eastAsia"/>
        </w:rPr>
        <w:t xml:space="preserve"> </w:t>
      </w:r>
    </w:p>
    <w:p>
      <w:pPr>
        <w:pStyle w:val="19"/>
        <w:rPr>
          <w:rFonts w:cs="宋体"/>
          <w:color w:val="000000" w:themeColor="text1"/>
          <w:szCs w:val="18"/>
          <w14:textFill>
            <w14:solidFill>
              <w14:schemeClr w14:val="tx1"/>
            </w14:solidFill>
          </w14:textFill>
        </w:rPr>
      </w:pPr>
      <w:r>
        <w:rPr>
          <w:rFonts w:hint="eastAsia" w:cs="宋体"/>
          <w:color w:val="000000" w:themeColor="text1"/>
          <w:szCs w:val="18"/>
          <w14:textFill>
            <w14:solidFill>
              <w14:schemeClr w14:val="tx1"/>
            </w14:solidFill>
          </w14:textFill>
        </w:rPr>
        <w:t>数据来源：重庆市大学中专毕业生就业数据库。</w:t>
      </w:r>
    </w:p>
    <w:p>
      <w:pPr>
        <w:pStyle w:val="18"/>
        <w:spacing w:before="312" w:after="156"/>
        <w:ind w:firstLine="442"/>
        <w:rPr>
          <w:rFonts w:cs="宋体"/>
          <w:color w:val="000000" w:themeColor="text1"/>
          <w:szCs w:val="18"/>
          <w14:textFill>
            <w14:solidFill>
              <w14:schemeClr w14:val="tx1"/>
            </w14:solidFill>
          </w14:textFill>
        </w:rPr>
      </w:pPr>
      <w:r>
        <w:t>不同生源毕业生就业地区具体分布情况如下表所示</w:t>
      </w:r>
      <w:r>
        <w:rPr>
          <w:rFonts w:hint="eastAsia"/>
        </w:rPr>
        <w:t>：</w:t>
      </w:r>
      <w:r>
        <w:fldChar w:fldCharType="begin"/>
      </w:r>
      <w:r>
        <w:instrText xml:space="preserve"> </w:instrText>
      </w:r>
      <w:r>
        <w:rPr>
          <w:rFonts w:hint="eastAsia"/>
        </w:rPr>
        <w:instrText xml:space="preserve">LINK Excel.Sheet.8 "C:\\Users\\Administrator\\AppData\\Local\\Temp\\HZ$D.897.1973\\HZ$D.897.1974\\12.16重庆交通职业技术学院客观数据结果\\单学历新增图表.xls" "回生源地就业!R1C1:R9C6" \a \f 4 \h</w:instrText>
      </w:r>
      <w:r>
        <w:instrText xml:space="preserve">  \* MERGEFORMAT </w:instrText>
      </w:r>
      <w:r>
        <w:fldChar w:fldCharType="separate"/>
      </w:r>
      <w:bookmarkStart w:id="24" w:name="RANGE!A1"/>
    </w:p>
    <w:tbl>
      <w:tblPr>
        <w:tblStyle w:val="20"/>
        <w:tblW w:w="8217" w:type="dxa"/>
        <w:tblInd w:w="0" w:type="dxa"/>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
      <w:tblGrid>
        <w:gridCol w:w="1369"/>
        <w:gridCol w:w="1370"/>
        <w:gridCol w:w="1369"/>
        <w:gridCol w:w="1370"/>
        <w:gridCol w:w="1369"/>
        <w:gridCol w:w="1370"/>
      </w:tblGrid>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1369"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ascii="宋体" w:hAnsi="宋体" w:eastAsia="宋体" w:cs="宋体"/>
                <w:b w:val="0"/>
                <w:bCs/>
                <w:color w:val="FFFFFF" w:themeColor="background1"/>
                <w:sz w:val="22"/>
                <w:szCs w:val="22"/>
                <w14:textFill>
                  <w14:solidFill>
                    <w14:schemeClr w14:val="bg1"/>
                  </w14:solidFill>
                </w14:textFill>
              </w:rPr>
            </w:pPr>
            <w:r>
              <w:rPr>
                <w:rFonts w:hint="eastAsia" w:ascii="宋体" w:hAnsi="宋体" w:eastAsia="宋体" w:cs="宋体"/>
                <w:b w:val="0"/>
                <w:bCs/>
                <w:color w:val="FFFFFF" w:themeColor="background1"/>
                <w:sz w:val="22"/>
                <w:szCs w:val="22"/>
                <w14:textFill>
                  <w14:solidFill>
                    <w14:schemeClr w14:val="bg1"/>
                  </w14:solidFill>
                </w14:textFill>
              </w:rPr>
              <w:t>生源地</w:t>
            </w:r>
            <w:bookmarkEnd w:id="24"/>
          </w:p>
        </w:tc>
        <w:tc>
          <w:tcPr>
            <w:tcW w:w="1370"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ascii="宋体" w:hAnsi="宋体" w:eastAsia="宋体" w:cs="宋体"/>
                <w:b w:val="0"/>
                <w:bCs/>
                <w:color w:val="FFFFFF" w:themeColor="background1"/>
                <w:sz w:val="22"/>
                <w:szCs w:val="22"/>
                <w14:textFill>
                  <w14:solidFill>
                    <w14:schemeClr w14:val="bg1"/>
                  </w14:solidFill>
                </w14:textFill>
              </w:rPr>
            </w:pPr>
            <w:r>
              <w:rPr>
                <w:rFonts w:hint="eastAsia" w:ascii="宋体" w:hAnsi="宋体" w:eastAsia="宋体" w:cs="宋体"/>
                <w:b w:val="0"/>
                <w:bCs/>
                <w:color w:val="FFFFFF" w:themeColor="background1"/>
                <w:sz w:val="22"/>
                <w:szCs w:val="22"/>
                <w14:textFill>
                  <w14:solidFill>
                    <w14:schemeClr w14:val="bg1"/>
                  </w14:solidFill>
                </w14:textFill>
              </w:rPr>
              <w:t>就业人数</w:t>
            </w:r>
          </w:p>
        </w:tc>
        <w:tc>
          <w:tcPr>
            <w:tcW w:w="1369"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ascii="宋体" w:hAnsi="宋体" w:eastAsia="宋体" w:cs="宋体"/>
                <w:b w:val="0"/>
                <w:bCs/>
                <w:color w:val="FFFFFF" w:themeColor="background1"/>
                <w:sz w:val="22"/>
                <w:szCs w:val="22"/>
                <w14:textFill>
                  <w14:solidFill>
                    <w14:schemeClr w14:val="bg1"/>
                  </w14:solidFill>
                </w14:textFill>
              </w:rPr>
            </w:pPr>
            <w:r>
              <w:rPr>
                <w:rFonts w:hint="eastAsia" w:ascii="宋体" w:hAnsi="宋体" w:eastAsia="宋体" w:cs="宋体"/>
                <w:b w:val="0"/>
                <w:bCs/>
                <w:color w:val="FFFFFF" w:themeColor="background1"/>
                <w:sz w:val="22"/>
                <w:szCs w:val="22"/>
                <w14:textFill>
                  <w14:solidFill>
                    <w14:schemeClr w14:val="bg1"/>
                  </w14:solidFill>
                </w14:textFill>
              </w:rPr>
              <w:t>回生源地人数</w:t>
            </w:r>
          </w:p>
        </w:tc>
        <w:tc>
          <w:tcPr>
            <w:tcW w:w="1370"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ascii="宋体" w:hAnsi="宋体" w:eastAsia="宋体" w:cs="宋体"/>
                <w:b w:val="0"/>
                <w:bCs/>
                <w:color w:val="FFFFFF" w:themeColor="background1"/>
                <w:sz w:val="22"/>
                <w:szCs w:val="22"/>
                <w14:textFill>
                  <w14:solidFill>
                    <w14:schemeClr w14:val="bg1"/>
                  </w14:solidFill>
                </w14:textFill>
              </w:rPr>
            </w:pPr>
            <w:r>
              <w:rPr>
                <w:rFonts w:hint="eastAsia" w:ascii="宋体" w:hAnsi="宋体" w:eastAsia="宋体" w:cs="宋体"/>
                <w:b w:val="0"/>
                <w:bCs/>
                <w:color w:val="FFFFFF" w:themeColor="background1"/>
                <w:sz w:val="22"/>
                <w:szCs w:val="22"/>
                <w14:textFill>
                  <w14:solidFill>
                    <w14:schemeClr w14:val="bg1"/>
                  </w14:solidFill>
                </w14:textFill>
              </w:rPr>
              <w:t>回生源地比例（</w:t>
            </w:r>
            <w:r>
              <w:rPr>
                <w:rFonts w:ascii="宋体" w:hAnsi="宋体" w:eastAsia="宋体" w:cs="宋体"/>
                <w:b w:val="0"/>
                <w:bCs/>
                <w:color w:val="FFFFFF" w:themeColor="background1"/>
                <w:sz w:val="22"/>
                <w:szCs w:val="22"/>
                <w14:textFill>
                  <w14:solidFill>
                    <w14:schemeClr w14:val="bg1"/>
                  </w14:solidFill>
                </w14:textFill>
              </w:rPr>
              <w:t>%）</w:t>
            </w:r>
          </w:p>
        </w:tc>
        <w:tc>
          <w:tcPr>
            <w:tcW w:w="1369"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ascii="宋体" w:hAnsi="宋体" w:eastAsia="宋体" w:cs="宋体"/>
                <w:b w:val="0"/>
                <w:bCs/>
                <w:color w:val="FFFFFF" w:themeColor="background1"/>
                <w:sz w:val="22"/>
                <w:szCs w:val="22"/>
                <w14:textFill>
                  <w14:solidFill>
                    <w14:schemeClr w14:val="bg1"/>
                  </w14:solidFill>
                </w14:textFill>
              </w:rPr>
            </w:pPr>
            <w:r>
              <w:rPr>
                <w:rFonts w:hint="eastAsia" w:ascii="宋体" w:hAnsi="宋体" w:eastAsia="宋体" w:cs="宋体"/>
                <w:b w:val="0"/>
                <w:bCs/>
                <w:color w:val="FFFFFF" w:themeColor="background1"/>
                <w:sz w:val="22"/>
                <w:szCs w:val="22"/>
                <w14:textFill>
                  <w14:solidFill>
                    <w14:schemeClr w14:val="bg1"/>
                  </w14:solidFill>
                </w14:textFill>
              </w:rPr>
              <w:t>学校所在地就业人数</w:t>
            </w:r>
          </w:p>
        </w:tc>
        <w:tc>
          <w:tcPr>
            <w:tcW w:w="1370" w:type="dxa"/>
            <w:tcBorders>
              <w:top w:val="single" w:color="4F81BD" w:sz="8" w:space="0"/>
              <w:left w:val="single" w:color="4F81BD" w:sz="8" w:space="0"/>
              <w:bottom w:val="single" w:color="FFFFFF" w:sz="8" w:space="0"/>
              <w:right w:val="single" w:color="4F81BD" w:sz="8" w:space="0"/>
              <w:insideH w:val="single" w:sz="4" w:space="0"/>
              <w:insideV w:val="nil"/>
            </w:tcBorders>
            <w:shd w:val="clear" w:color="auto" w:fill="4F81BD"/>
            <w:vAlign w:val="center"/>
          </w:tcPr>
          <w:p>
            <w:pPr>
              <w:spacing w:line="240" w:lineRule="auto"/>
              <w:ind w:firstLine="0" w:firstLineChars="0"/>
              <w:jc w:val="center"/>
              <w:rPr>
                <w:rFonts w:ascii="宋体" w:hAnsi="宋体" w:eastAsia="宋体" w:cs="宋体"/>
                <w:b w:val="0"/>
                <w:bCs/>
                <w:color w:val="FFFFFF" w:themeColor="background1"/>
                <w:sz w:val="22"/>
                <w:szCs w:val="22"/>
                <w14:textFill>
                  <w14:solidFill>
                    <w14:schemeClr w14:val="bg1"/>
                  </w14:solidFill>
                </w14:textFill>
              </w:rPr>
            </w:pPr>
            <w:r>
              <w:rPr>
                <w:rFonts w:hint="eastAsia" w:ascii="宋体" w:hAnsi="宋体" w:eastAsia="宋体" w:cs="宋体"/>
                <w:b w:val="0"/>
                <w:bCs/>
                <w:color w:val="FFFFFF" w:themeColor="background1"/>
                <w:sz w:val="22"/>
                <w:szCs w:val="22"/>
                <w14:textFill>
                  <w14:solidFill>
                    <w14:schemeClr w14:val="bg1"/>
                  </w14:solidFill>
                </w14:textFill>
              </w:rPr>
              <w:t>学校地就业比例（</w:t>
            </w:r>
            <w:r>
              <w:rPr>
                <w:rFonts w:ascii="宋体" w:hAnsi="宋体" w:eastAsia="宋体" w:cs="宋体"/>
                <w:b w:val="0"/>
                <w:bCs/>
                <w:color w:val="FFFFFF" w:themeColor="background1"/>
                <w:sz w:val="22"/>
                <w:szCs w:val="22"/>
                <w14:textFill>
                  <w14:solidFill>
                    <w14:schemeClr w14:val="bg1"/>
                  </w14:solidFill>
                </w14:textFill>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1369" w:type="dxa"/>
            <w:tcBorders>
              <w:top w:val="single" w:color="FFFFFF"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重庆市</w:t>
            </w:r>
          </w:p>
        </w:tc>
        <w:tc>
          <w:tcPr>
            <w:tcW w:w="1370" w:type="dxa"/>
            <w:tcBorders>
              <w:top w:val="single" w:color="FFFFFF"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1699</w:t>
            </w:r>
          </w:p>
        </w:tc>
        <w:tc>
          <w:tcPr>
            <w:tcW w:w="1369" w:type="dxa"/>
            <w:tcBorders>
              <w:top w:val="single" w:color="FFFFFF"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1222</w:t>
            </w:r>
          </w:p>
        </w:tc>
        <w:tc>
          <w:tcPr>
            <w:tcW w:w="1370" w:type="dxa"/>
            <w:tcBorders>
              <w:top w:val="single" w:color="FFFFFF"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71.92</w:t>
            </w:r>
          </w:p>
        </w:tc>
        <w:tc>
          <w:tcPr>
            <w:tcW w:w="1369" w:type="dxa"/>
            <w:tcBorders>
              <w:top w:val="single" w:color="FFFFFF"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1222</w:t>
            </w:r>
          </w:p>
        </w:tc>
        <w:tc>
          <w:tcPr>
            <w:tcW w:w="1370" w:type="dxa"/>
            <w:tcBorders>
              <w:top w:val="single" w:color="FFFFFF"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71.92</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1369"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四川省</w:t>
            </w:r>
          </w:p>
        </w:tc>
        <w:tc>
          <w:tcPr>
            <w:tcW w:w="137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492</w:t>
            </w:r>
          </w:p>
        </w:tc>
        <w:tc>
          <w:tcPr>
            <w:tcW w:w="1369"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136</w:t>
            </w:r>
          </w:p>
        </w:tc>
        <w:tc>
          <w:tcPr>
            <w:tcW w:w="137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27.64</w:t>
            </w:r>
          </w:p>
        </w:tc>
        <w:tc>
          <w:tcPr>
            <w:tcW w:w="1369"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196</w:t>
            </w:r>
          </w:p>
        </w:tc>
        <w:tc>
          <w:tcPr>
            <w:tcW w:w="137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39.84</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1369"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贵州省</w:t>
            </w:r>
          </w:p>
        </w:tc>
        <w:tc>
          <w:tcPr>
            <w:tcW w:w="137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280</w:t>
            </w:r>
          </w:p>
        </w:tc>
        <w:tc>
          <w:tcPr>
            <w:tcW w:w="1369"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114</w:t>
            </w:r>
          </w:p>
        </w:tc>
        <w:tc>
          <w:tcPr>
            <w:tcW w:w="137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40.71</w:t>
            </w:r>
          </w:p>
        </w:tc>
        <w:tc>
          <w:tcPr>
            <w:tcW w:w="1369"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77</w:t>
            </w:r>
          </w:p>
        </w:tc>
        <w:tc>
          <w:tcPr>
            <w:tcW w:w="137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27.50</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1369"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海南省</w:t>
            </w:r>
          </w:p>
        </w:tc>
        <w:tc>
          <w:tcPr>
            <w:tcW w:w="137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1</w:t>
            </w:r>
            <w:r>
              <w:rPr>
                <w:rFonts w:hint="eastAsia" w:ascii="Times New Roman" w:hAnsi="Times New Roman" w:eastAsia="宋体" w:cs="Times New Roman"/>
                <w:color w:val="000000"/>
                <w:sz w:val="22"/>
                <w:szCs w:val="22"/>
                <w:lang w:val="en-US" w:eastAsia="zh-CN"/>
              </w:rPr>
              <w:t>6</w:t>
            </w:r>
          </w:p>
        </w:tc>
        <w:tc>
          <w:tcPr>
            <w:tcW w:w="1369"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9</w:t>
            </w:r>
          </w:p>
        </w:tc>
        <w:tc>
          <w:tcPr>
            <w:tcW w:w="137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56.25</w:t>
            </w:r>
          </w:p>
        </w:tc>
        <w:tc>
          <w:tcPr>
            <w:tcW w:w="1369"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4</w:t>
            </w:r>
          </w:p>
        </w:tc>
        <w:tc>
          <w:tcPr>
            <w:tcW w:w="137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25.00</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1369"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河南省</w:t>
            </w:r>
          </w:p>
        </w:tc>
        <w:tc>
          <w:tcPr>
            <w:tcW w:w="137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15</w:t>
            </w:r>
          </w:p>
        </w:tc>
        <w:tc>
          <w:tcPr>
            <w:tcW w:w="1369"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4</w:t>
            </w:r>
          </w:p>
        </w:tc>
        <w:tc>
          <w:tcPr>
            <w:tcW w:w="137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26.67</w:t>
            </w:r>
          </w:p>
        </w:tc>
        <w:tc>
          <w:tcPr>
            <w:tcW w:w="1369"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7</w:t>
            </w:r>
          </w:p>
        </w:tc>
        <w:tc>
          <w:tcPr>
            <w:tcW w:w="137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46.67</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1369"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新疆维吾尔自治区</w:t>
            </w:r>
          </w:p>
        </w:tc>
        <w:tc>
          <w:tcPr>
            <w:tcW w:w="137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1</w:t>
            </w:r>
            <w:r>
              <w:rPr>
                <w:rFonts w:hint="eastAsia" w:ascii="Times New Roman" w:hAnsi="Times New Roman" w:eastAsia="宋体" w:cs="Times New Roman"/>
                <w:color w:val="000000"/>
                <w:sz w:val="22"/>
                <w:szCs w:val="22"/>
                <w:lang w:val="en-US" w:eastAsia="zh-CN"/>
              </w:rPr>
              <w:t>7</w:t>
            </w:r>
          </w:p>
        </w:tc>
        <w:tc>
          <w:tcPr>
            <w:tcW w:w="1369"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10</w:t>
            </w:r>
          </w:p>
        </w:tc>
        <w:tc>
          <w:tcPr>
            <w:tcW w:w="137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58.82</w:t>
            </w:r>
          </w:p>
        </w:tc>
        <w:tc>
          <w:tcPr>
            <w:tcW w:w="1369"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6</w:t>
            </w:r>
          </w:p>
        </w:tc>
        <w:tc>
          <w:tcPr>
            <w:tcW w:w="137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35.29</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1369"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云南省</w:t>
            </w:r>
          </w:p>
        </w:tc>
        <w:tc>
          <w:tcPr>
            <w:tcW w:w="137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14</w:t>
            </w:r>
          </w:p>
        </w:tc>
        <w:tc>
          <w:tcPr>
            <w:tcW w:w="1369"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6</w:t>
            </w:r>
          </w:p>
        </w:tc>
        <w:tc>
          <w:tcPr>
            <w:tcW w:w="137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42.86</w:t>
            </w:r>
          </w:p>
        </w:tc>
        <w:tc>
          <w:tcPr>
            <w:tcW w:w="1369"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6</w:t>
            </w:r>
          </w:p>
        </w:tc>
        <w:tc>
          <w:tcPr>
            <w:tcW w:w="137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40" w:lineRule="auto"/>
              <w:ind w:firstLine="0" w:firstLineChars="0"/>
              <w:jc w:val="center"/>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42.86</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1369"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宋体" w:hAnsi="宋体" w:eastAsia="宋体" w:cs="宋体"/>
                <w:b w:val="0"/>
                <w:bCs/>
                <w:color w:val="000000"/>
                <w:sz w:val="22"/>
                <w:szCs w:val="22"/>
                <w:lang w:val="en-US" w:eastAsia="zh-CN"/>
              </w:rPr>
            </w:pPr>
            <w:r>
              <w:rPr>
                <w:rFonts w:hint="eastAsia" w:ascii="宋体" w:hAnsi="宋体" w:eastAsia="宋体" w:cs="宋体"/>
                <w:b w:val="0"/>
                <w:bCs/>
                <w:color w:val="000000"/>
                <w:sz w:val="22"/>
                <w:szCs w:val="22"/>
                <w:lang w:val="en-US" w:eastAsia="zh-CN"/>
              </w:rPr>
              <w:t>甘肃省</w:t>
            </w:r>
          </w:p>
        </w:tc>
        <w:tc>
          <w:tcPr>
            <w:tcW w:w="137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15</w:t>
            </w:r>
          </w:p>
        </w:tc>
        <w:tc>
          <w:tcPr>
            <w:tcW w:w="1369"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4</w:t>
            </w:r>
          </w:p>
        </w:tc>
        <w:tc>
          <w:tcPr>
            <w:tcW w:w="137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26.67</w:t>
            </w:r>
          </w:p>
        </w:tc>
        <w:tc>
          <w:tcPr>
            <w:tcW w:w="1369"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8</w:t>
            </w:r>
          </w:p>
        </w:tc>
        <w:tc>
          <w:tcPr>
            <w:tcW w:w="137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53.33</w:t>
            </w:r>
          </w:p>
        </w:tc>
      </w:tr>
    </w:tbl>
    <w:p>
      <w:pPr>
        <w:pStyle w:val="16"/>
        <w:spacing w:before="156" w:after="156"/>
        <w:ind w:firstLine="0" w:firstLineChars="0"/>
        <w:rPr>
          <w:rFonts w:ascii="Times New Roman" w:hAnsi="Times New Roman" w:cstheme="minorBidi"/>
          <w:caps/>
          <w:color w:val="auto"/>
          <w:sz w:val="18"/>
          <w:szCs w:val="20"/>
          <w:lang w:val="zh-CN"/>
        </w:rPr>
      </w:pPr>
      <w:r>
        <w:fldChar w:fldCharType="end"/>
      </w:r>
      <w:bookmarkStart w:id="25" w:name="_Toc427050514"/>
      <w:r>
        <w:rPr>
          <w:rFonts w:hint="eastAsia" w:ascii="Times New Roman" w:hAnsi="Times New Roman" w:cstheme="minorBidi"/>
          <w:caps/>
          <w:color w:val="auto"/>
          <w:sz w:val="18"/>
          <w:szCs w:val="20"/>
          <w:lang w:val="zh-CN"/>
        </w:rPr>
        <w:t>注：由于四舍五入的原因，因此数据占比之和可能会出现不等于100</w:t>
      </w:r>
      <w:r>
        <w:rPr>
          <w:rFonts w:ascii="Times New Roman" w:hAnsi="Times New Roman" w:cstheme="minorBidi"/>
          <w:caps/>
          <w:color w:val="auto"/>
          <w:sz w:val="18"/>
          <w:szCs w:val="20"/>
          <w:lang w:val="zh-CN"/>
        </w:rPr>
        <w:t>%</w:t>
      </w:r>
      <w:r>
        <w:rPr>
          <w:rFonts w:hint="eastAsia" w:ascii="Times New Roman" w:hAnsi="Times New Roman" w:cstheme="minorBidi"/>
          <w:caps/>
          <w:color w:val="auto"/>
          <w:sz w:val="18"/>
          <w:szCs w:val="20"/>
          <w:lang w:val="zh-CN"/>
        </w:rPr>
        <w:t>的情况（误差为±0.01）。</w:t>
      </w:r>
    </w:p>
    <w:p>
      <w:pPr>
        <w:pStyle w:val="19"/>
        <w:rPr>
          <w:b/>
          <w:lang w:val="zh-CN"/>
        </w:rPr>
      </w:pPr>
      <w:r>
        <w:rPr>
          <w:rFonts w:hint="eastAsia"/>
          <w:lang w:val="zh-CN"/>
        </w:rPr>
        <w:t>数据来源：重庆市大学中专毕业生就业数据库。</w:t>
      </w:r>
    </w:p>
    <w:p>
      <w:pPr>
        <w:pStyle w:val="5"/>
        <w:spacing w:before="312" w:after="312"/>
        <w:ind w:left="480"/>
        <w:sectPr>
          <w:pgSz w:w="11906" w:h="16838"/>
          <w:pgMar w:top="1440" w:right="1800" w:bottom="1440" w:left="1800" w:header="851" w:footer="992" w:gutter="0"/>
          <w:cols w:space="425" w:num="1"/>
          <w:docGrid w:type="lines" w:linePitch="312" w:charSpace="0"/>
        </w:sectPr>
      </w:pPr>
    </w:p>
    <w:p>
      <w:pPr>
        <w:pStyle w:val="5"/>
        <w:spacing w:before="312" w:after="312"/>
        <w:ind w:left="480"/>
      </w:pPr>
      <w:r>
        <w:rPr>
          <w:rFonts w:hint="eastAsia"/>
        </w:rPr>
        <w:t>2</w:t>
      </w:r>
      <w:r>
        <w:t>.</w:t>
      </w:r>
      <w:r>
        <w:rPr>
          <w:rFonts w:hint="eastAsia"/>
        </w:rPr>
        <w:t>就业单位流向</w:t>
      </w:r>
      <w:bookmarkEnd w:id="25"/>
    </w:p>
    <w:p>
      <w:pPr>
        <w:pStyle w:val="18"/>
        <w:spacing w:before="312" w:after="156"/>
        <w:ind w:firstLine="482"/>
        <w:rPr>
          <w:sz w:val="24"/>
          <w:szCs w:val="24"/>
        </w:rPr>
      </w:pPr>
      <w:r>
        <w:rPr>
          <w:rFonts w:hint="eastAsia"/>
          <w:sz w:val="24"/>
          <w:szCs w:val="24"/>
        </w:rPr>
        <w:t>学校毕业生</w:t>
      </w:r>
      <w:r>
        <w:rPr>
          <w:sz w:val="24"/>
          <w:szCs w:val="24"/>
        </w:rPr>
        <w:t>主要流向</w:t>
      </w:r>
      <w:r>
        <w:rPr>
          <w:rFonts w:hint="eastAsia"/>
          <w:sz w:val="24"/>
          <w:szCs w:val="24"/>
        </w:rPr>
        <w:t>单位类型为企业</w:t>
      </w:r>
      <w:r>
        <w:rPr>
          <w:sz w:val="24"/>
          <w:szCs w:val="24"/>
        </w:rPr>
        <w:t>，其中</w:t>
      </w:r>
      <w:r>
        <w:rPr>
          <w:rFonts w:hint="eastAsia"/>
          <w:sz w:val="24"/>
          <w:szCs w:val="24"/>
        </w:rPr>
        <w:t>其他企业（以</w:t>
      </w:r>
      <w:r>
        <w:rPr>
          <w:sz w:val="24"/>
          <w:szCs w:val="24"/>
        </w:rPr>
        <w:t>民营企业为主）占比最高</w:t>
      </w:r>
      <w:r>
        <w:rPr>
          <w:rFonts w:hint="eastAsia"/>
          <w:sz w:val="24"/>
          <w:szCs w:val="24"/>
        </w:rPr>
        <w:t>，达到</w:t>
      </w:r>
      <w:r>
        <w:rPr>
          <w:rFonts w:hint="eastAsia"/>
          <w:sz w:val="24"/>
          <w:szCs w:val="24"/>
          <w:lang w:val="en-US" w:eastAsia="zh-CN"/>
        </w:rPr>
        <w:t>55.50</w:t>
      </w:r>
      <w:r>
        <w:rPr>
          <w:sz w:val="24"/>
          <w:szCs w:val="24"/>
        </w:rPr>
        <w:t>%，其次为</w:t>
      </w:r>
      <w:r>
        <w:rPr>
          <w:rFonts w:hint="eastAsia"/>
          <w:sz w:val="24"/>
          <w:szCs w:val="24"/>
        </w:rPr>
        <w:t>国有企业</w:t>
      </w:r>
      <w:r>
        <w:rPr>
          <w:sz w:val="24"/>
          <w:szCs w:val="24"/>
        </w:rPr>
        <w:t>（</w:t>
      </w:r>
      <w:r>
        <w:rPr>
          <w:rFonts w:hint="eastAsia"/>
          <w:sz w:val="24"/>
          <w:szCs w:val="24"/>
          <w:lang w:val="en-US" w:eastAsia="zh-CN"/>
        </w:rPr>
        <w:t>42.23</w:t>
      </w:r>
      <w:r>
        <w:rPr>
          <w:sz w:val="24"/>
          <w:szCs w:val="24"/>
        </w:rPr>
        <w:t>%）</w:t>
      </w:r>
    </w:p>
    <w:p>
      <w:pPr>
        <w:ind w:firstLine="0" w:firstLineChars="0"/>
        <w:jc w:val="center"/>
      </w:pPr>
      <w:r>
        <w:rPr>
          <w:sz w:val="24"/>
        </w:rPr>
        <mc:AlternateContent>
          <mc:Choice Requires="wps">
            <w:drawing>
              <wp:anchor distT="0" distB="0" distL="114300" distR="114300" simplePos="0" relativeHeight="251703296" behindDoc="0" locked="0" layoutInCell="1" allowOverlap="1">
                <wp:simplePos x="0" y="0"/>
                <wp:positionH relativeFrom="column">
                  <wp:posOffset>3956685</wp:posOffset>
                </wp:positionH>
                <wp:positionV relativeFrom="paragraph">
                  <wp:posOffset>2327910</wp:posOffset>
                </wp:positionV>
                <wp:extent cx="617855" cy="409575"/>
                <wp:effectExtent l="0" t="0" r="0" b="0"/>
                <wp:wrapNone/>
                <wp:docPr id="32" name="文本框 32"/>
                <wp:cNvGraphicFramePr/>
                <a:graphic xmlns:a="http://schemas.openxmlformats.org/drawingml/2006/main">
                  <a:graphicData uri="http://schemas.microsoft.com/office/word/2010/wordprocessingShape">
                    <wps:wsp>
                      <wps:cNvSpPr txBox="1"/>
                      <wps:spPr>
                        <a:xfrm>
                          <a:off x="5461635" y="4358640"/>
                          <a:ext cx="617855"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lang w:val="en-US" w:eastAsia="zh-CN"/>
                              </w:rPr>
                            </w:pPr>
                            <w:r>
                              <w:rPr>
                                <w:rFonts w:hint="eastAsia"/>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55pt;margin-top:183.3pt;height:32.25pt;width:48.65pt;z-index:251703296;mso-width-relative:page;mso-height-relative:page;" filled="f" stroked="f" coordsize="21600,21600" o:gfxdata="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c2JzncAAAACwEAAA8AAAAAAAAAAQAgAAAAIgAAAGRycy9kb3ducmV2LnhtbFBL&#10;AQIUABQAAAAIAIdO4kCC/PzGKwIAACUEAAAOAAAAAAAAAAEAIAAAACsBAABkcnMvZTJvRG9jLnht&#10;bFBLBQYAAAAABgAGAFkBAADIBQAAAAA=&#10;">
                <v:fill on="f" focussize="0,0"/>
                <v:stroke on="f" weight="0.5pt"/>
                <v:imagedata o:title=""/>
                <o:lock v:ext="edit" aspectratio="f"/>
                <v:textbox>
                  <w:txbxContent>
                    <w:p>
                      <w:pPr>
                        <w:jc w:val="left"/>
                        <w:rPr>
                          <w:rFonts w:hint="eastAsia" w:eastAsiaTheme="minorEastAsia"/>
                          <w:lang w:val="en-US" w:eastAsia="zh-CN"/>
                        </w:rPr>
                      </w:pPr>
                      <w:r>
                        <w:rPr>
                          <w:rFonts w:hint="eastAsia"/>
                          <w:lang w:val="en-US" w:eastAsia="zh-CN"/>
                        </w:rPr>
                        <w:t>%</w:t>
                      </w:r>
                    </w:p>
                  </w:txbxContent>
                </v:textbox>
              </v:shape>
            </w:pict>
          </mc:Fallback>
        </mc:AlternateContent>
      </w:r>
      <w:r>
        <w:drawing>
          <wp:inline distT="0" distB="0" distL="114300" distR="114300">
            <wp:extent cx="3394710" cy="2610485"/>
            <wp:effectExtent l="4445" t="4445" r="10795" b="1397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9"/>
      </w:pPr>
      <w:r>
        <w:rPr>
          <w:rFonts w:hint="eastAsia"/>
        </w:rPr>
        <w:t>数据来源</w:t>
      </w:r>
      <w:r>
        <w:t>：</w:t>
      </w:r>
      <w:r>
        <w:rPr>
          <w:rFonts w:hint="eastAsia"/>
        </w:rPr>
        <w:t>重庆市大学中专毕业生就业数据库。</w:t>
      </w:r>
    </w:p>
    <w:p>
      <w:pPr>
        <w:pStyle w:val="18"/>
        <w:spacing w:before="312" w:after="156"/>
        <w:ind w:firstLine="482"/>
        <w:rPr>
          <w:sz w:val="24"/>
          <w:szCs w:val="24"/>
        </w:rPr>
      </w:pPr>
      <w:r>
        <w:rPr>
          <w:rFonts w:hint="eastAsia"/>
          <w:sz w:val="24"/>
          <w:szCs w:val="24"/>
        </w:rPr>
        <w:t>学校毕业生主要</w:t>
      </w:r>
      <w:r>
        <w:rPr>
          <w:sz w:val="24"/>
          <w:szCs w:val="24"/>
        </w:rPr>
        <w:t>集中在</w:t>
      </w:r>
      <w:r>
        <w:rPr>
          <w:rFonts w:ascii="Times New Roman" w:hAnsi="Times New Roman" w:cs="Times New Roman"/>
          <w:sz w:val="24"/>
          <w:szCs w:val="24"/>
        </w:rPr>
        <w:t>300</w:t>
      </w:r>
      <w:r>
        <w:rPr>
          <w:rFonts w:hint="eastAsia"/>
          <w:sz w:val="24"/>
          <w:szCs w:val="24"/>
        </w:rPr>
        <w:t>人</w:t>
      </w:r>
      <w:r>
        <w:rPr>
          <w:sz w:val="24"/>
          <w:szCs w:val="24"/>
        </w:rPr>
        <w:t>以下</w:t>
      </w:r>
      <w:r>
        <w:rPr>
          <w:rFonts w:hint="eastAsia"/>
          <w:sz w:val="24"/>
          <w:szCs w:val="24"/>
        </w:rPr>
        <w:t>规模</w:t>
      </w:r>
      <w:r>
        <w:rPr>
          <w:sz w:val="24"/>
          <w:szCs w:val="24"/>
        </w:rPr>
        <w:t>的</w:t>
      </w:r>
      <w:r>
        <w:rPr>
          <w:rFonts w:hint="eastAsia"/>
          <w:sz w:val="24"/>
          <w:szCs w:val="24"/>
        </w:rPr>
        <w:t>单位</w:t>
      </w:r>
      <w:r>
        <w:rPr>
          <w:sz w:val="24"/>
          <w:szCs w:val="24"/>
        </w:rPr>
        <w:t>工作，比例达到</w:t>
      </w:r>
      <w:r>
        <w:rPr>
          <w:rFonts w:hint="eastAsia" w:ascii="Times New Roman" w:hAnsi="Times New Roman" w:cs="Times New Roman"/>
          <w:sz w:val="24"/>
          <w:szCs w:val="24"/>
          <w:lang w:val="en-US" w:eastAsia="zh-CN"/>
        </w:rPr>
        <w:t>62.12</w:t>
      </w:r>
      <w:r>
        <w:rPr>
          <w:rFonts w:ascii="Times New Roman" w:hAnsi="Times New Roman" w:cs="Times New Roman"/>
          <w:sz w:val="24"/>
          <w:szCs w:val="24"/>
        </w:rPr>
        <w:t>%</w:t>
      </w:r>
      <w:r>
        <w:rPr>
          <w:rFonts w:hint="eastAsia"/>
          <w:sz w:val="24"/>
          <w:szCs w:val="24"/>
        </w:rPr>
        <w:t>。此外，</w:t>
      </w:r>
      <w:r>
        <w:rPr>
          <w:rFonts w:hint="default" w:ascii="Times New Roman" w:hAnsi="Times New Roman" w:cs="Times New Roman"/>
          <w:sz w:val="24"/>
          <w:szCs w:val="24"/>
          <w:lang w:val="en-US" w:eastAsia="zh-CN"/>
        </w:rPr>
        <w:t>19.63</w:t>
      </w:r>
      <w:r>
        <w:rPr>
          <w:rFonts w:ascii="Times New Roman" w:hAnsi="Times New Roman" w:cs="Times New Roman"/>
          <w:sz w:val="24"/>
          <w:szCs w:val="24"/>
        </w:rPr>
        <w:t>%</w:t>
      </w:r>
      <w:r>
        <w:rPr>
          <w:sz w:val="24"/>
          <w:szCs w:val="24"/>
        </w:rPr>
        <w:t>的毕业生在</w:t>
      </w:r>
      <w:r>
        <w:rPr>
          <w:rFonts w:ascii="Times New Roman" w:hAnsi="Times New Roman" w:cs="Times New Roman"/>
          <w:sz w:val="24"/>
          <w:szCs w:val="24"/>
        </w:rPr>
        <w:t>301-2000</w:t>
      </w:r>
      <w:r>
        <w:rPr>
          <w:rFonts w:hint="eastAsia"/>
          <w:sz w:val="24"/>
          <w:szCs w:val="24"/>
        </w:rPr>
        <w:t>人规模</w:t>
      </w:r>
      <w:r>
        <w:rPr>
          <w:sz w:val="24"/>
          <w:szCs w:val="24"/>
        </w:rPr>
        <w:t>的单位工作</w:t>
      </w:r>
    </w:p>
    <w:p>
      <w:pPr>
        <w:ind w:firstLine="480"/>
        <w:jc w:val="center"/>
        <w:rPr>
          <w:rFonts w:hint="eastAsia" w:eastAsiaTheme="minorEastAsia"/>
          <w:lang w:eastAsia="zh-CN"/>
        </w:rPr>
      </w:pPr>
      <w:r>
        <w:rPr>
          <w:rFonts w:hint="eastAsia" w:eastAsiaTheme="minorEastAsia"/>
          <w:lang w:eastAsia="zh-CN"/>
        </w:rPr>
        <w:drawing>
          <wp:inline distT="0" distB="0" distL="114300" distR="114300">
            <wp:extent cx="3736340" cy="2503805"/>
            <wp:effectExtent l="4445" t="4445" r="12065" b="635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19"/>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p>
    <w:p>
      <w:pPr>
        <w:pStyle w:val="5"/>
        <w:spacing w:before="312" w:after="312"/>
        <w:ind w:left="480"/>
      </w:pPr>
      <w:r>
        <w:br w:type="page"/>
      </w:r>
      <w:bookmarkStart w:id="26" w:name="_Toc427050515"/>
      <w:r>
        <w:rPr>
          <w:rFonts w:hint="eastAsia"/>
        </w:rPr>
        <w:t>3</w:t>
      </w:r>
      <w:r>
        <w:t>.</w:t>
      </w:r>
      <w:r>
        <w:rPr>
          <w:rFonts w:hint="eastAsia"/>
        </w:rPr>
        <w:t>就业行业流向</w:t>
      </w:r>
      <w:bookmarkEnd w:id="26"/>
    </w:p>
    <w:p>
      <w:pPr>
        <w:pStyle w:val="18"/>
        <w:spacing w:before="312" w:after="156"/>
        <w:ind w:firstLine="482"/>
        <w:jc w:val="both"/>
        <w:rPr>
          <w:rFonts w:ascii="Times New Roman" w:hAnsi="Times New Roman" w:cs="Times New Roman"/>
          <w:sz w:val="24"/>
          <w:szCs w:val="24"/>
        </w:rPr>
      </w:pPr>
      <w:r>
        <w:rPr>
          <w:rFonts w:hint="eastAsia"/>
          <w:sz w:val="24"/>
          <w:szCs w:val="24"/>
        </w:rPr>
        <w:t>学校</w:t>
      </w:r>
      <w:r>
        <w:rPr>
          <w:rFonts w:ascii="Times New Roman" w:hAnsi="Times New Roman" w:cs="Times New Roman"/>
          <w:sz w:val="24"/>
          <w:szCs w:val="24"/>
        </w:rPr>
        <w:t>毕业生</w:t>
      </w:r>
      <w:r>
        <w:rPr>
          <w:rFonts w:hint="eastAsia" w:ascii="Times New Roman" w:hAnsi="Times New Roman" w:cs="Times New Roman"/>
          <w:sz w:val="24"/>
          <w:szCs w:val="24"/>
        </w:rPr>
        <w:t>就业</w:t>
      </w:r>
      <w:r>
        <w:rPr>
          <w:rFonts w:ascii="Times New Roman" w:hAnsi="Times New Roman" w:cs="Times New Roman"/>
          <w:sz w:val="24"/>
          <w:szCs w:val="24"/>
        </w:rPr>
        <w:t>行业主要集中在在建筑业（</w:t>
      </w:r>
      <w:r>
        <w:rPr>
          <w:rFonts w:hint="eastAsia" w:ascii="Times New Roman" w:hAnsi="Times New Roman" w:cs="Times New Roman"/>
          <w:sz w:val="24"/>
          <w:szCs w:val="24"/>
          <w:lang w:val="en-US" w:eastAsia="zh-CN"/>
        </w:rPr>
        <w:t>48.04</w:t>
      </w:r>
      <w:r>
        <w:rPr>
          <w:rFonts w:ascii="Times New Roman" w:hAnsi="Times New Roman" w:cs="Times New Roman"/>
          <w:sz w:val="24"/>
          <w:szCs w:val="24"/>
        </w:rPr>
        <w:t>%）</w:t>
      </w:r>
      <w:r>
        <w:rPr>
          <w:rFonts w:hint="eastAsia" w:ascii="Times New Roman" w:hAnsi="Times New Roman" w:cs="Times New Roman"/>
          <w:sz w:val="24"/>
          <w:szCs w:val="24"/>
        </w:rPr>
        <w:t>，其次</w:t>
      </w:r>
      <w:r>
        <w:rPr>
          <w:rFonts w:ascii="Times New Roman" w:hAnsi="Times New Roman" w:cs="Times New Roman"/>
          <w:sz w:val="24"/>
          <w:szCs w:val="24"/>
        </w:rPr>
        <w:t>是</w:t>
      </w:r>
      <w:r>
        <w:rPr>
          <w:rFonts w:hint="eastAsia" w:ascii="Times New Roman" w:hAnsi="Times New Roman" w:cs="Times New Roman"/>
          <w:sz w:val="24"/>
          <w:szCs w:val="24"/>
          <w:lang w:eastAsia="zh-CN"/>
        </w:rPr>
        <w:t>交通运输、仓储和邮政业</w:t>
      </w:r>
      <w:r>
        <w:rPr>
          <w:rFonts w:ascii="Times New Roman" w:hAnsi="Times New Roman" w:cs="Times New Roman"/>
          <w:sz w:val="24"/>
          <w:szCs w:val="24"/>
        </w:rPr>
        <w:t>（</w:t>
      </w:r>
      <w:r>
        <w:rPr>
          <w:rFonts w:hint="eastAsia" w:ascii="Times New Roman" w:hAnsi="Times New Roman" w:cs="Times New Roman"/>
          <w:sz w:val="24"/>
          <w:szCs w:val="24"/>
          <w:lang w:val="en-US" w:eastAsia="zh-CN"/>
        </w:rPr>
        <w:t>8.26</w:t>
      </w:r>
      <w:r>
        <w:rPr>
          <w:rFonts w:ascii="Times New Roman" w:hAnsi="Times New Roman" w:cs="Times New Roman"/>
          <w:sz w:val="24"/>
          <w:szCs w:val="24"/>
        </w:rPr>
        <w:t>%）</w:t>
      </w:r>
      <w:r>
        <w:rPr>
          <w:rFonts w:hint="eastAsia" w:ascii="Times New Roman" w:hAnsi="Times New Roman" w:cs="Times New Roman"/>
          <w:sz w:val="24"/>
          <w:szCs w:val="24"/>
        </w:rPr>
        <w:t>，第三</w:t>
      </w:r>
      <w:r>
        <w:rPr>
          <w:rFonts w:hint="eastAsia" w:ascii="Times New Roman" w:hAnsi="Times New Roman" w:cs="Times New Roman"/>
          <w:sz w:val="24"/>
          <w:szCs w:val="24"/>
          <w:lang w:eastAsia="zh-CN"/>
        </w:rPr>
        <w:t>是居民服务、修理和其他服务业</w:t>
      </w:r>
      <w:r>
        <w:rPr>
          <w:rFonts w:ascii="Times New Roman" w:hAnsi="Times New Roman" w:cs="Times New Roman"/>
          <w:sz w:val="24"/>
          <w:szCs w:val="24"/>
        </w:rPr>
        <w:t>（</w:t>
      </w:r>
      <w:r>
        <w:rPr>
          <w:rFonts w:hint="eastAsia" w:ascii="Times New Roman" w:hAnsi="Times New Roman" w:cs="Times New Roman"/>
          <w:sz w:val="24"/>
          <w:szCs w:val="24"/>
          <w:lang w:val="en-US" w:eastAsia="zh-CN"/>
        </w:rPr>
        <w:t>8.07</w:t>
      </w:r>
      <w:r>
        <w:rPr>
          <w:rFonts w:ascii="Times New Roman" w:hAnsi="Times New Roman" w:cs="Times New Roman"/>
          <w:sz w:val="24"/>
          <w:szCs w:val="24"/>
        </w:rPr>
        <w:t>%）</w:t>
      </w:r>
    </w:p>
    <w:p/>
    <w:p>
      <w:pPr>
        <w:ind w:firstLine="0" w:firstLineChars="0"/>
        <w:rPr>
          <w:rFonts w:hint="eastAsia" w:eastAsiaTheme="minorEastAsia"/>
          <w:lang w:eastAsia="zh-CN"/>
        </w:rPr>
      </w:pPr>
      <w:r>
        <w:rPr>
          <w:sz w:val="24"/>
        </w:rPr>
        <mc:AlternateContent>
          <mc:Choice Requires="wps">
            <w:drawing>
              <wp:anchor distT="0" distB="0" distL="114300" distR="114300" simplePos="0" relativeHeight="251704320" behindDoc="0" locked="0" layoutInCell="1" allowOverlap="1">
                <wp:simplePos x="0" y="0"/>
                <wp:positionH relativeFrom="column">
                  <wp:posOffset>4775835</wp:posOffset>
                </wp:positionH>
                <wp:positionV relativeFrom="paragraph">
                  <wp:posOffset>3543935</wp:posOffset>
                </wp:positionV>
                <wp:extent cx="647700" cy="352425"/>
                <wp:effectExtent l="0" t="0" r="0" b="0"/>
                <wp:wrapNone/>
                <wp:docPr id="39" name="文本框 39"/>
                <wp:cNvGraphicFramePr/>
                <a:graphic xmlns:a="http://schemas.openxmlformats.org/drawingml/2006/main">
                  <a:graphicData uri="http://schemas.microsoft.com/office/word/2010/wordprocessingShape">
                    <wps:wsp>
                      <wps:cNvSpPr txBox="1"/>
                      <wps:spPr>
                        <a:xfrm>
                          <a:off x="6052185" y="5744210"/>
                          <a:ext cx="647700"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05pt;margin-top:279.05pt;height:27.75pt;width:51pt;z-index:251704320;mso-width-relative:page;mso-height-relative:page;" filled="f" stroked="f" coordsize="21600,21600" o:gfxdata="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FGwAdsAAAALAQAADwAAAAAAAAABACAAAAAiAAAAZHJzL2Rvd25yZXYueG1sUEsB&#10;AhQAFAAAAAgAh07iQDZAdicrAgAAJQQAAA4AAAAAAAAAAQAgAAAAKgEAAGRycy9lMm9Eb2MueG1s&#10;UEsFBgAAAAAGAAYAWQEAAMcFA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t>
                      </w:r>
                    </w:p>
                  </w:txbxContent>
                </v:textbox>
              </v:shape>
            </w:pict>
          </mc:Fallback>
        </mc:AlternateContent>
      </w:r>
      <w:r>
        <w:rPr>
          <w:rFonts w:hint="eastAsia" w:eastAsiaTheme="minorEastAsia"/>
          <w:lang w:eastAsia="zh-CN"/>
        </w:rPr>
        <w:drawing>
          <wp:inline distT="0" distB="0" distL="114300" distR="114300">
            <wp:extent cx="5080000" cy="3810000"/>
            <wp:effectExtent l="4445" t="4445" r="20955" b="1460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16"/>
        <w:spacing w:beforeLines="0" w:after="0" w:afterLines="0" w:line="300" w:lineRule="auto"/>
        <w:ind w:right="357" w:firstLine="0" w:firstLineChars="0"/>
        <w:rPr>
          <w:rFonts w:ascii="Times New Roman" w:hAnsi="Times New Roman"/>
          <w:sz w:val="18"/>
          <w:szCs w:val="18"/>
        </w:rPr>
      </w:pPr>
      <w:r>
        <w:rPr>
          <w:rFonts w:hint="eastAsia" w:ascii="Times New Roman" w:hAnsi="Times New Roman"/>
          <w:sz w:val="18"/>
          <w:szCs w:val="18"/>
        </w:rPr>
        <w:t>数据来源</w:t>
      </w:r>
      <w:r>
        <w:rPr>
          <w:rFonts w:ascii="Times New Roman" w:hAnsi="Times New Roman"/>
          <w:sz w:val="18"/>
          <w:szCs w:val="18"/>
        </w:rPr>
        <w:t>：</w:t>
      </w:r>
      <w:r>
        <w:rPr>
          <w:rFonts w:hint="eastAsia" w:ascii="Times New Roman" w:hAnsi="Times New Roman"/>
          <w:sz w:val="18"/>
          <w:szCs w:val="18"/>
        </w:rPr>
        <w:t>重庆市大学中专毕业生就业数据库。</w:t>
      </w:r>
    </w:p>
    <w:p>
      <w:pPr>
        <w:pStyle w:val="16"/>
        <w:spacing w:beforeLines="0" w:after="0" w:afterLines="0" w:line="300" w:lineRule="auto"/>
        <w:ind w:right="357" w:firstLine="0" w:firstLineChars="0"/>
        <w:rPr>
          <w:rFonts w:ascii="Times New Roman" w:hAnsi="Times New Roman"/>
          <w:sz w:val="18"/>
          <w:szCs w:val="18"/>
        </w:rPr>
      </w:pPr>
    </w:p>
    <w:p>
      <w:pPr>
        <w:pStyle w:val="16"/>
        <w:spacing w:beforeLines="0" w:after="0" w:afterLines="0" w:line="300" w:lineRule="auto"/>
        <w:ind w:right="357" w:firstLine="0" w:firstLineChars="0"/>
        <w:rPr>
          <w:rFonts w:ascii="Times New Roman" w:hAnsi="Times New Roman"/>
          <w:sz w:val="18"/>
          <w:szCs w:val="18"/>
        </w:rPr>
      </w:pPr>
    </w:p>
    <w:p>
      <w:pPr>
        <w:pStyle w:val="5"/>
        <w:spacing w:before="312" w:after="312"/>
        <w:ind w:left="480"/>
      </w:pPr>
      <w:bookmarkStart w:id="27" w:name="_Toc427050516"/>
      <w:r>
        <w:t>4.</w:t>
      </w:r>
      <w:r>
        <w:rPr>
          <w:rFonts w:hint="eastAsia"/>
        </w:rPr>
        <w:t>就业职业流向</w:t>
      </w:r>
      <w:bookmarkEnd w:id="27"/>
    </w:p>
    <w:p>
      <w:pPr>
        <w:pStyle w:val="18"/>
        <w:spacing w:before="312" w:after="156"/>
        <w:ind w:firstLine="482"/>
        <w:rPr>
          <w:sz w:val="24"/>
          <w:szCs w:val="24"/>
        </w:rPr>
      </w:pPr>
      <w:r>
        <w:rPr>
          <w:rFonts w:hint="eastAsia"/>
          <w:sz w:val="24"/>
          <w:szCs w:val="24"/>
        </w:rPr>
        <w:t>学校毕业生</w:t>
      </w:r>
      <w:r>
        <w:rPr>
          <w:sz w:val="24"/>
          <w:szCs w:val="24"/>
        </w:rPr>
        <w:t>主要从事职业为</w:t>
      </w:r>
      <w:r>
        <w:rPr>
          <w:sz w:val="24"/>
          <w:szCs w:val="24"/>
        </w:rPr>
        <w:fldChar w:fldCharType="begin"/>
      </w:r>
      <w:r>
        <w:rPr>
          <w:sz w:val="24"/>
          <w:szCs w:val="24"/>
        </w:rPr>
        <w:instrText xml:space="preserve"> </w:instrText>
      </w:r>
      <w:r>
        <w:rPr>
          <w:rFonts w:hint="eastAsia"/>
          <w:sz w:val="24"/>
          <w:szCs w:val="24"/>
        </w:rPr>
        <w:instrText xml:space="preserve">LINK </w:instrText>
      </w:r>
      <w:r>
        <w:rPr>
          <w:sz w:val="24"/>
          <w:szCs w:val="24"/>
        </w:rPr>
        <w:instrText xml:space="preserve">Excel.Sheet.8</w:instrText>
      </w:r>
      <w:r>
        <w:rPr>
          <w:rFonts w:hint="eastAsia"/>
          <w:sz w:val="24"/>
          <w:szCs w:val="24"/>
        </w:rPr>
        <w:instrText xml:space="preserve"> D:\\duiwai\\对外单学历图.xls 文字性内容!R21C3 \a \t</w:instrText>
      </w:r>
      <w:r>
        <w:rPr>
          <w:sz w:val="24"/>
          <w:szCs w:val="24"/>
        </w:rPr>
        <w:instrText xml:space="preserve">  \* MERGEFORMAT </w:instrText>
      </w:r>
      <w:r>
        <w:rPr>
          <w:sz w:val="24"/>
          <w:szCs w:val="24"/>
        </w:rPr>
        <w:fldChar w:fldCharType="separate"/>
      </w:r>
      <w:r>
        <w:rPr>
          <w:rFonts w:hint="eastAsia"/>
          <w:sz w:val="24"/>
          <w:szCs w:val="24"/>
        </w:rPr>
        <w:t>工程</w:t>
      </w:r>
      <w:r>
        <w:rPr>
          <w:sz w:val="24"/>
          <w:szCs w:val="24"/>
        </w:rPr>
        <w:t>技术人</w:t>
      </w:r>
      <w:r>
        <w:rPr>
          <w:rFonts w:hint="eastAsia"/>
          <w:sz w:val="24"/>
          <w:szCs w:val="24"/>
        </w:rPr>
        <w:t>员</w:t>
      </w:r>
      <w:r>
        <w:rPr>
          <w:sz w:val="24"/>
          <w:szCs w:val="24"/>
        </w:rPr>
        <w:fldChar w:fldCharType="end"/>
      </w:r>
      <w:r>
        <w:rPr>
          <w:rFonts w:ascii="Times New Roman" w:hAnsi="Times New Roman" w:eastAsia="黑体" w:cs="Times New Roman"/>
          <w:sz w:val="24"/>
          <w:szCs w:val="24"/>
        </w:rPr>
        <w:t>（</w:t>
      </w:r>
      <w:r>
        <w:rPr>
          <w:rFonts w:hint="eastAsia" w:ascii="Times New Roman" w:hAnsi="Times New Roman" w:eastAsia="黑体" w:cs="Times New Roman"/>
          <w:sz w:val="24"/>
          <w:szCs w:val="24"/>
          <w:lang w:val="en-US" w:eastAsia="zh-CN"/>
        </w:rPr>
        <w:t>38.6</w:t>
      </w:r>
      <w:r>
        <w:rPr>
          <w:rFonts w:ascii="Times New Roman" w:hAnsi="Times New Roman" w:eastAsia="黑体" w:cs="Times New Roman"/>
          <w:sz w:val="24"/>
          <w:szCs w:val="24"/>
        </w:rPr>
        <w:t>%）</w:t>
      </w:r>
      <w:r>
        <w:rPr>
          <w:rFonts w:hint="eastAsia"/>
          <w:sz w:val="24"/>
          <w:szCs w:val="24"/>
        </w:rPr>
        <w:t>，其次为</w:t>
      </w:r>
      <w:r>
        <w:rPr>
          <w:rFonts w:hint="eastAsia"/>
          <w:sz w:val="24"/>
          <w:szCs w:val="24"/>
          <w:lang w:eastAsia="zh-CN"/>
        </w:rPr>
        <w:t>其他</w:t>
      </w:r>
      <w:r>
        <w:rPr>
          <w:sz w:val="24"/>
          <w:szCs w:val="24"/>
        </w:rPr>
        <w:t>人员</w:t>
      </w:r>
      <w:r>
        <w:rPr>
          <w:rFonts w:ascii="Times New Roman" w:hAnsi="Times New Roman" w:cs="Times New Roman"/>
          <w:sz w:val="24"/>
          <w:szCs w:val="24"/>
        </w:rPr>
        <w:t>（</w:t>
      </w:r>
      <w:r>
        <w:rPr>
          <w:rFonts w:hint="eastAsia" w:ascii="Times New Roman" w:hAnsi="Times New Roman" w:cs="Times New Roman"/>
          <w:sz w:val="24"/>
          <w:szCs w:val="24"/>
          <w:lang w:val="en-US" w:eastAsia="zh-CN"/>
        </w:rPr>
        <w:t>25.49</w:t>
      </w:r>
      <w:r>
        <w:rPr>
          <w:rFonts w:ascii="Times New Roman" w:hAnsi="Times New Roman" w:cs="Times New Roman"/>
          <w:sz w:val="24"/>
          <w:szCs w:val="24"/>
        </w:rPr>
        <w:t>%）和</w:t>
      </w:r>
      <w:r>
        <w:rPr>
          <w:rFonts w:hint="eastAsia" w:ascii="Times New Roman" w:hAnsi="Times New Roman" w:cs="Times New Roman"/>
          <w:sz w:val="24"/>
          <w:szCs w:val="24"/>
          <w:lang w:eastAsia="zh-CN"/>
        </w:rPr>
        <w:t>办事人员和有关人员</w:t>
      </w:r>
      <w:r>
        <w:rPr>
          <w:rFonts w:ascii="Times New Roman" w:hAnsi="Times New Roman" w:cs="Times New Roman"/>
          <w:sz w:val="24"/>
          <w:szCs w:val="24"/>
        </w:rPr>
        <w:t>（</w:t>
      </w:r>
      <w:r>
        <w:rPr>
          <w:rFonts w:hint="eastAsia" w:ascii="Times New Roman" w:hAnsi="Times New Roman" w:cs="Times New Roman"/>
          <w:sz w:val="24"/>
          <w:szCs w:val="24"/>
          <w:lang w:val="en-US" w:eastAsia="zh-CN"/>
        </w:rPr>
        <w:t>23.34</w:t>
      </w:r>
      <w:r>
        <w:rPr>
          <w:rFonts w:ascii="Times New Roman" w:hAnsi="Times New Roman" w:cs="Times New Roman"/>
          <w:sz w:val="24"/>
          <w:szCs w:val="24"/>
        </w:rPr>
        <w:t>%）</w:t>
      </w:r>
    </w:p>
    <w:p>
      <w:pPr>
        <w:ind w:firstLine="480"/>
      </w:pPr>
      <w:r>
        <w:rPr>
          <w:sz w:val="24"/>
        </w:rPr>
        <mc:AlternateContent>
          <mc:Choice Requires="wps">
            <w:drawing>
              <wp:anchor distT="0" distB="0" distL="114300" distR="114300" simplePos="0" relativeHeight="251751424" behindDoc="0" locked="0" layoutInCell="1" allowOverlap="1">
                <wp:simplePos x="0" y="0"/>
                <wp:positionH relativeFrom="column">
                  <wp:posOffset>4966335</wp:posOffset>
                </wp:positionH>
                <wp:positionV relativeFrom="paragraph">
                  <wp:posOffset>3241040</wp:posOffset>
                </wp:positionV>
                <wp:extent cx="647700" cy="35242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647700"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05pt;margin-top:255.2pt;height:27.75pt;width:51pt;z-index:251751424;mso-width-relative:page;mso-height-relative:page;" filled="f" stroked="f" coordsize="21600,21600" o:gfxdata="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is&#10;GSbcAAAACwEAAA8AAAAAAAAAAQAgAAAAIgAAAGRycy9kb3ducmV2LnhtbFBLAQIUABQAAAAIAIdO&#10;4kCVUztXHwIAABkEAAAOAAAAAAAAAAEAIAAAACsBAABkcnMvZTJvRG9jLnhtbFBLBQYAAAAABgAG&#10;AFkBAAC8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t>
                      </w:r>
                    </w:p>
                  </w:txbxContent>
                </v:textbox>
              </v:shape>
            </w:pict>
          </mc:Fallback>
        </mc:AlternateContent>
      </w:r>
      <w:r>
        <w:drawing>
          <wp:inline distT="0" distB="0" distL="114300" distR="114300">
            <wp:extent cx="5080000" cy="3810000"/>
            <wp:effectExtent l="4445" t="4445" r="20955" b="14605"/>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19"/>
      </w:pPr>
      <w:r>
        <w:rPr>
          <w:rFonts w:hint="eastAsia"/>
        </w:rPr>
        <w:t>数据来源</w:t>
      </w:r>
      <w:r>
        <w:t>：</w:t>
      </w:r>
      <w:r>
        <w:rPr>
          <w:rFonts w:hint="eastAsia"/>
        </w:rPr>
        <w:t>重庆市大学中专毕业生就业数据库。</w:t>
      </w:r>
    </w:p>
    <w:p>
      <w:pPr>
        <w:pStyle w:val="23"/>
        <w:spacing w:before="0" w:beforeLines="0" w:after="468" w:afterLines="150"/>
        <w:ind w:firstLine="562"/>
        <w:rPr>
          <w:rFonts w:ascii="Times New Roman" w:hAnsi="Times New Roman"/>
          <w:color w:val="auto"/>
          <w:sz w:val="28"/>
        </w:rPr>
        <w:sectPr>
          <w:pgSz w:w="11906" w:h="16838"/>
          <w:pgMar w:top="1440" w:right="1800" w:bottom="1440" w:left="1800" w:header="851" w:footer="992" w:gutter="0"/>
          <w:cols w:space="425" w:num="1"/>
          <w:docGrid w:type="lines" w:linePitch="312" w:charSpace="0"/>
        </w:sectPr>
      </w:pPr>
    </w:p>
    <w:p>
      <w:pPr>
        <w:pStyle w:val="4"/>
        <w:spacing w:before="156" w:after="156"/>
        <w:ind w:left="240"/>
      </w:pPr>
      <w:bookmarkStart w:id="28" w:name="_Toc439953109"/>
      <w:r>
        <w:rPr>
          <w:rFonts w:hint="eastAsia"/>
        </w:rPr>
        <w:t>（二</w:t>
      </w:r>
      <w:r>
        <w:t>）</w:t>
      </w:r>
      <w:r>
        <w:rPr>
          <w:rFonts w:hint="eastAsia"/>
        </w:rPr>
        <w:t>升学</w:t>
      </w:r>
      <w:bookmarkEnd w:id="28"/>
    </w:p>
    <w:p>
      <w:pPr>
        <w:ind w:firstLine="480"/>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01</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届</w:t>
      </w:r>
      <w:r>
        <w:rPr>
          <w:color w:val="000000" w:themeColor="text1"/>
          <w14:textFill>
            <w14:solidFill>
              <w14:schemeClr w14:val="tx1"/>
            </w14:solidFill>
          </w14:textFill>
        </w:rPr>
        <w:t>毕业生共有</w:t>
      </w:r>
      <w:r>
        <w:rPr>
          <w:rFonts w:hint="eastAsia"/>
          <w:color w:val="000000" w:themeColor="text1"/>
          <w:lang w:val="en-US" w:eastAsia="zh-CN"/>
          <w14:textFill>
            <w14:solidFill>
              <w14:schemeClr w14:val="tx1"/>
            </w14:solidFill>
          </w14:textFill>
        </w:rPr>
        <w:t>135</w:t>
      </w:r>
      <w:r>
        <w:rPr>
          <w:rFonts w:hint="eastAsia"/>
          <w:color w:val="000000" w:themeColor="text1"/>
          <w14:textFill>
            <w14:solidFill>
              <w14:schemeClr w14:val="tx1"/>
            </w14:solidFill>
          </w14:textFill>
        </w:rPr>
        <w:t>人（4.</w:t>
      </w:r>
      <w:r>
        <w:rPr>
          <w:rFonts w:hint="eastAsia"/>
          <w:color w:val="000000" w:themeColor="text1"/>
          <w:lang w:val="en-US" w:eastAsia="zh-CN"/>
          <w14:textFill>
            <w14:solidFill>
              <w14:schemeClr w14:val="tx1"/>
            </w14:solidFill>
          </w14:textFill>
        </w:rPr>
        <w:t>95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升学深造，对其升学专业</w:t>
      </w:r>
      <w:r>
        <w:rPr>
          <w:rFonts w:hint="eastAsia"/>
          <w:color w:val="000000" w:themeColor="text1"/>
          <w14:textFill>
            <w14:solidFill>
              <w14:schemeClr w14:val="tx1"/>
            </w14:solidFill>
          </w14:textFill>
        </w:rPr>
        <w:t>一致</w:t>
      </w:r>
      <w:r>
        <w:rPr>
          <w:color w:val="000000" w:themeColor="text1"/>
          <w14:textFill>
            <w14:solidFill>
              <w14:schemeClr w14:val="tx1"/>
            </w14:solidFill>
          </w14:textFill>
        </w:rPr>
        <w:t>性、升学原因以及升学结果的满意度调查结果如下：</w:t>
      </w:r>
    </w:p>
    <w:p>
      <w:pPr>
        <w:pStyle w:val="5"/>
        <w:spacing w:before="312" w:after="312"/>
        <w:ind w:left="480"/>
      </w:pPr>
      <w:r>
        <w:rPr>
          <w:rFonts w:hint="eastAsia"/>
        </w:rPr>
        <w:t>1.升学专业</w:t>
      </w:r>
      <w:r>
        <w:t>一致性</w:t>
      </w:r>
    </w:p>
    <w:p>
      <w:pPr>
        <w:pStyle w:val="18"/>
        <w:spacing w:before="312" w:after="156"/>
        <w:ind w:firstLine="482"/>
        <w:rPr>
          <w:sz w:val="24"/>
          <w:szCs w:val="24"/>
        </w:rPr>
      </w:pPr>
      <w:r>
        <w:rPr>
          <w:rFonts w:hint="eastAsia"/>
          <w:sz w:val="24"/>
          <w:szCs w:val="24"/>
        </w:rPr>
        <w:t>学校毕业生</w:t>
      </w:r>
      <w:r>
        <w:rPr>
          <w:sz w:val="24"/>
          <w:szCs w:val="24"/>
        </w:rPr>
        <w:t>升学专业与原专业一致及相近</w:t>
      </w:r>
      <w:r>
        <w:rPr>
          <w:rFonts w:hint="eastAsia"/>
          <w:sz w:val="24"/>
          <w:szCs w:val="24"/>
        </w:rPr>
        <w:t>/相关</w:t>
      </w:r>
      <w:r>
        <w:rPr>
          <w:sz w:val="24"/>
          <w:szCs w:val="24"/>
        </w:rPr>
        <w:t>的比例为</w:t>
      </w:r>
      <w:r>
        <w:rPr>
          <w:rFonts w:ascii="Times New Roman" w:hAnsi="Times New Roman" w:cs="Times New Roman"/>
          <w:sz w:val="24"/>
          <w:szCs w:val="24"/>
        </w:rPr>
        <w:t>85.00%</w:t>
      </w:r>
      <w:r>
        <w:rPr>
          <w:rFonts w:hint="eastAsia"/>
          <w:sz w:val="24"/>
          <w:szCs w:val="24"/>
        </w:rPr>
        <w:t>，</w:t>
      </w:r>
      <w:r>
        <w:rPr>
          <w:sz w:val="24"/>
          <w:szCs w:val="24"/>
        </w:rPr>
        <w:t>大部分学生仍在本专业或相关专业继续深造</w:t>
      </w:r>
    </w:p>
    <w:p>
      <w:pPr>
        <w:ind w:firstLine="480"/>
      </w:pPr>
      <w:r>
        <w:drawing>
          <wp:inline distT="0" distB="0" distL="0" distR="0">
            <wp:extent cx="4572000" cy="2743200"/>
            <wp:effectExtent l="0" t="0" r="0" b="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19"/>
      </w:pPr>
      <w:r>
        <w:rPr>
          <w:rFonts w:hint="eastAsia"/>
        </w:rPr>
        <w:t>数据来源：</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rPr>
          <w:rFonts w:hint="eastAsia"/>
        </w:rPr>
        <w:t>。</w:t>
      </w:r>
    </w:p>
    <w:p>
      <w:pPr>
        <w:ind w:firstLine="480"/>
      </w:pPr>
    </w:p>
    <w:p>
      <w:pPr>
        <w:pStyle w:val="5"/>
        <w:spacing w:before="312" w:after="312"/>
        <w:ind w:left="480"/>
      </w:pPr>
      <w:r>
        <w:rPr>
          <w:rFonts w:hint="eastAsia"/>
        </w:rPr>
        <w:t>2.升学原因</w:t>
      </w:r>
    </w:p>
    <w:p>
      <w:pPr>
        <w:pStyle w:val="18"/>
        <w:spacing w:before="312" w:after="156"/>
        <w:ind w:firstLine="482"/>
        <w:jc w:val="both"/>
        <w:rPr>
          <w:sz w:val="24"/>
          <w:szCs w:val="24"/>
        </w:rPr>
      </w:pPr>
      <w:r>
        <w:rPr>
          <w:rFonts w:hint="eastAsia"/>
          <w:sz w:val="24"/>
          <w:szCs w:val="24"/>
        </w:rPr>
        <w:t>学校毕业生</w:t>
      </w:r>
      <w:r>
        <w:rPr>
          <w:sz w:val="24"/>
          <w:szCs w:val="24"/>
        </w:rPr>
        <w:t>的升学原因主要</w:t>
      </w:r>
      <w:r>
        <w:rPr>
          <w:rFonts w:hint="eastAsia"/>
          <w:sz w:val="24"/>
          <w:szCs w:val="24"/>
        </w:rPr>
        <w:t>是</w:t>
      </w:r>
      <w:r>
        <w:rPr>
          <w:sz w:val="24"/>
          <w:szCs w:val="24"/>
        </w:rPr>
        <w:fldChar w:fldCharType="begin"/>
      </w:r>
      <w:r>
        <w:rPr>
          <w:sz w:val="24"/>
          <w:szCs w:val="24"/>
        </w:rPr>
        <w:instrText xml:space="preserve"> LINK Excel.Sheet.8</w:instrText>
      </w:r>
      <w:r>
        <w:rPr>
          <w:rFonts w:hint="eastAsia"/>
          <w:sz w:val="24"/>
          <w:szCs w:val="24"/>
        </w:rPr>
        <w:instrText xml:space="preserve"> D:\\duiwai\\对外单学历图.xls 文字性内容!R32C3 </w:instrText>
      </w:r>
      <w:r>
        <w:rPr>
          <w:sz w:val="24"/>
          <w:szCs w:val="24"/>
        </w:rPr>
        <w:instrText xml:space="preserve">\a \t  \* MERGEFORMAT </w:instrText>
      </w:r>
      <w:r>
        <w:rPr>
          <w:sz w:val="24"/>
          <w:szCs w:val="24"/>
        </w:rPr>
        <w:fldChar w:fldCharType="separate"/>
      </w:r>
      <w:r>
        <w:rPr>
          <w:rFonts w:hint="eastAsia"/>
          <w:sz w:val="24"/>
          <w:szCs w:val="24"/>
        </w:rPr>
        <w:t>增加择业资本、站在更高的求职起点</w:t>
      </w:r>
      <w:r>
        <w:rPr>
          <w:sz w:val="24"/>
          <w:szCs w:val="24"/>
        </w:rPr>
        <w:fldChar w:fldCharType="end"/>
      </w:r>
      <w:r>
        <w:rPr>
          <w:rFonts w:ascii="Times New Roman" w:hAnsi="Times New Roman" w:cs="Times New Roman"/>
          <w:sz w:val="24"/>
          <w:szCs w:val="24"/>
        </w:rPr>
        <w:t>（</w:t>
      </w:r>
      <w:r>
        <w:rPr>
          <w:rFonts w:hint="eastAsia" w:ascii="Times New Roman" w:hAnsi="Times New Roman" w:cs="Times New Roman"/>
          <w:sz w:val="24"/>
          <w:szCs w:val="24"/>
          <w:lang w:val="en-US" w:eastAsia="zh-CN"/>
        </w:rPr>
        <w:t>48.65</w:t>
      </w:r>
      <w:r>
        <w:rPr>
          <w:rFonts w:ascii="Times New Roman" w:hAnsi="Times New Roman" w:cs="Times New Roman"/>
          <w:sz w:val="24"/>
          <w:szCs w:val="24"/>
        </w:rPr>
        <w:t>%）</w:t>
      </w:r>
      <w:r>
        <w:rPr>
          <w:rFonts w:hint="eastAsia"/>
          <w:sz w:val="24"/>
          <w:szCs w:val="24"/>
        </w:rPr>
        <w:t>，其次是提升综合能力</w:t>
      </w:r>
      <w:r>
        <w:rPr>
          <w:rFonts w:hint="eastAsia" w:ascii="黑体" w:hAnsi="黑体" w:eastAsia="黑体"/>
          <w:sz w:val="24"/>
          <w:szCs w:val="24"/>
        </w:rPr>
        <w:t>（</w:t>
      </w:r>
      <w:r>
        <w:rPr>
          <w:rFonts w:hint="eastAsia" w:ascii="黑体" w:hAnsi="黑体" w:eastAsia="黑体"/>
          <w:sz w:val="24"/>
          <w:szCs w:val="24"/>
          <w:lang w:val="en-US" w:eastAsia="zh-CN"/>
        </w:rPr>
        <w:t>32.43</w:t>
      </w:r>
      <w:r>
        <w:rPr>
          <w:rFonts w:ascii="黑体" w:hAnsi="黑体" w:eastAsia="黑体"/>
          <w:sz w:val="24"/>
          <w:szCs w:val="24"/>
        </w:rPr>
        <w:t>%）</w:t>
      </w:r>
    </w:p>
    <w:p>
      <w:pPr>
        <w:ind w:firstLine="0" w:firstLineChars="0"/>
        <w:jc w:val="center"/>
      </w:pPr>
      <w:r>
        <w:rPr>
          <w:sz w:val="24"/>
        </w:rPr>
        <mc:AlternateContent>
          <mc:Choice Requires="wps">
            <w:drawing>
              <wp:anchor distT="0" distB="0" distL="114300" distR="114300" simplePos="0" relativeHeight="251845632" behindDoc="0" locked="0" layoutInCell="1" allowOverlap="1">
                <wp:simplePos x="0" y="0"/>
                <wp:positionH relativeFrom="column">
                  <wp:posOffset>4461510</wp:posOffset>
                </wp:positionH>
                <wp:positionV relativeFrom="paragraph">
                  <wp:posOffset>2745740</wp:posOffset>
                </wp:positionV>
                <wp:extent cx="647700" cy="35242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647700"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1.3pt;margin-top:216.2pt;height:27.75pt;width:51pt;z-index:251845632;mso-width-relative:page;mso-height-relative:page;" filled="f" stroked="f" coordsize="21600,21600" o:gfxdata="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4p0&#10;2wAAAAsBAAAPAAAAAAAAAAEAIAAAACIAAABkcnMvZG93bnJldi54bWxQSwECFAAUAAAACACHTuJA&#10;Xrn8Yx4CAAAZBAAADgAAAAAAAAABACAAAAAqAQAAZHJzL2Uyb0RvYy54bWxQSwUGAAAAAAYABgBZ&#10;AQAAug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t>
                      </w:r>
                    </w:p>
                  </w:txbxContent>
                </v:textbox>
              </v:shape>
            </w:pict>
          </mc:Fallback>
        </mc:AlternateContent>
      </w:r>
      <w:r>
        <w:drawing>
          <wp:inline distT="0" distB="0" distL="114300" distR="114300">
            <wp:extent cx="4318000" cy="3038475"/>
            <wp:effectExtent l="4445" t="4445" r="20955" b="508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19"/>
      </w:pPr>
    </w:p>
    <w:p>
      <w:pPr>
        <w:pStyle w:val="19"/>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p>
    <w:p>
      <w:pPr>
        <w:ind w:firstLine="480"/>
      </w:pPr>
    </w:p>
    <w:p>
      <w:pPr>
        <w:pStyle w:val="5"/>
        <w:spacing w:before="312" w:after="312"/>
        <w:ind w:left="480"/>
      </w:pPr>
      <w:r>
        <w:rPr>
          <w:rFonts w:hint="eastAsia"/>
        </w:rPr>
        <w:t>3.升学满意度</w:t>
      </w:r>
    </w:p>
    <w:p>
      <w:pPr>
        <w:pStyle w:val="18"/>
        <w:spacing w:before="312" w:after="156"/>
        <w:ind w:firstLine="482"/>
        <w:rPr>
          <w:sz w:val="24"/>
          <w:szCs w:val="24"/>
        </w:rPr>
      </w:pPr>
      <w:r>
        <w:rPr>
          <w:rFonts w:hint="eastAsia"/>
          <w:sz w:val="24"/>
          <w:szCs w:val="24"/>
        </w:rPr>
        <w:t>学校毕业生</w:t>
      </w:r>
      <w:r>
        <w:rPr>
          <w:sz w:val="24"/>
          <w:szCs w:val="24"/>
        </w:rPr>
        <w:t>对升学结果的</w:t>
      </w:r>
      <w:r>
        <w:rPr>
          <w:rFonts w:hint="eastAsia"/>
          <w:sz w:val="24"/>
          <w:szCs w:val="24"/>
          <w:lang w:eastAsia="zh-CN"/>
        </w:rPr>
        <w:t>满意度高达</w:t>
      </w:r>
      <w:r>
        <w:rPr>
          <w:sz w:val="24"/>
          <w:szCs w:val="24"/>
        </w:rPr>
        <w:t>。其中</w:t>
      </w:r>
      <w:r>
        <w:rPr>
          <w:rFonts w:hint="eastAsia"/>
          <w:sz w:val="24"/>
          <w:szCs w:val="24"/>
        </w:rPr>
        <w:t>，</w:t>
      </w:r>
      <w:r>
        <w:rPr>
          <w:sz w:val="24"/>
          <w:szCs w:val="24"/>
        </w:rPr>
        <w:t>非常满意占</w:t>
      </w:r>
      <w:r>
        <w:rPr>
          <w:rFonts w:hint="eastAsia"/>
          <w:sz w:val="24"/>
          <w:szCs w:val="24"/>
        </w:rPr>
        <w:t>13.</w:t>
      </w:r>
      <w:r>
        <w:rPr>
          <w:rFonts w:hint="eastAsia"/>
          <w:sz w:val="24"/>
          <w:szCs w:val="24"/>
          <w:lang w:val="en-US" w:eastAsia="zh-CN"/>
        </w:rPr>
        <w:t>50</w:t>
      </w:r>
      <w:r>
        <w:rPr>
          <w:sz w:val="24"/>
          <w:szCs w:val="24"/>
        </w:rPr>
        <w:t>%，比较满意占</w:t>
      </w:r>
      <w:r>
        <w:rPr>
          <w:rFonts w:hint="eastAsia"/>
          <w:sz w:val="24"/>
          <w:szCs w:val="24"/>
          <w:lang w:val="en-US" w:eastAsia="zh-CN"/>
        </w:rPr>
        <w:t>51.30</w:t>
      </w:r>
      <w:r>
        <w:rPr>
          <w:sz w:val="24"/>
          <w:szCs w:val="24"/>
        </w:rPr>
        <w:t>%，一般占</w:t>
      </w:r>
      <w:r>
        <w:rPr>
          <w:rFonts w:hint="eastAsia"/>
          <w:sz w:val="24"/>
          <w:szCs w:val="24"/>
          <w:lang w:val="en-US" w:eastAsia="zh-CN"/>
        </w:rPr>
        <w:t>27.00</w:t>
      </w:r>
      <w:r>
        <w:rPr>
          <w:sz w:val="24"/>
          <w:szCs w:val="24"/>
        </w:rPr>
        <w:t>%</w:t>
      </w:r>
    </w:p>
    <w:p>
      <w:pPr>
        <w:ind w:firstLine="480"/>
        <w:jc w:val="center"/>
      </w:pPr>
      <w:r>
        <w:drawing>
          <wp:inline distT="0" distB="0" distL="114300" distR="114300">
            <wp:extent cx="3937635" cy="2513965"/>
            <wp:effectExtent l="4445" t="4445" r="20320" b="1524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19"/>
      </w:pPr>
      <w:r>
        <w:rPr>
          <w:rFonts w:hint="eastAsia"/>
        </w:rPr>
        <w:t>注：由于四舍五入的原因，因此数据占比之和可能会出现不等于100</w:t>
      </w:r>
      <w:r>
        <w:t>%</w:t>
      </w:r>
      <w:r>
        <w:rPr>
          <w:rFonts w:hint="eastAsia"/>
        </w:rPr>
        <w:t>的情况（误差为±0.01）。</w:t>
      </w:r>
    </w:p>
    <w:p>
      <w:pPr>
        <w:pStyle w:val="19"/>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p>
    <w:p>
      <w:pPr>
        <w:pStyle w:val="4"/>
        <w:spacing w:before="156" w:after="156"/>
        <w:ind w:left="240"/>
        <w:sectPr>
          <w:pgSz w:w="11906" w:h="16838"/>
          <w:pgMar w:top="1440" w:right="1800" w:bottom="1440" w:left="1800" w:header="851" w:footer="992" w:gutter="0"/>
          <w:cols w:space="425" w:num="1"/>
          <w:docGrid w:type="lines" w:linePitch="312" w:charSpace="0"/>
        </w:sectPr>
      </w:pPr>
    </w:p>
    <w:p>
      <w:pPr>
        <w:pStyle w:val="4"/>
        <w:spacing w:before="156" w:after="156"/>
        <w:ind w:left="240"/>
        <w:sectPr>
          <w:type w:val="continuous"/>
          <w:pgSz w:w="11906" w:h="16838"/>
          <w:pgMar w:top="1440" w:right="1800" w:bottom="1440" w:left="1800" w:header="851" w:footer="992" w:gutter="0"/>
          <w:cols w:space="425" w:num="1"/>
          <w:docGrid w:type="lines" w:linePitch="312" w:charSpace="0"/>
        </w:sectPr>
      </w:pPr>
    </w:p>
    <w:p>
      <w:pPr>
        <w:pStyle w:val="2"/>
        <w:spacing w:after="468"/>
        <w:ind w:firstLine="723"/>
        <w:rPr>
          <w:rFonts w:ascii="Times New Roman" w:hAnsi="Times New Roman"/>
        </w:rPr>
      </w:pPr>
      <w:bookmarkStart w:id="29" w:name="_Toc421972548"/>
      <w:bookmarkStart w:id="30" w:name="_Toc439953110"/>
      <w:r>
        <w:rPr>
          <w:rFonts w:hint="eastAsia"/>
        </w:rPr>
        <w:t>第二篇：就业工作特色</w:t>
      </w:r>
      <w:bookmarkEnd w:id="29"/>
      <w:bookmarkEnd w:id="30"/>
    </w:p>
    <w:p>
      <w:pPr>
        <w:pStyle w:val="3"/>
        <w:numPr>
          <w:ilvl w:val="0"/>
          <w:numId w:val="1"/>
        </w:numPr>
        <w:pBdr>
          <w:top w:val="single" w:color="FFFFFF" w:sz="24" w:space="0"/>
          <w:left w:val="single" w:color="FFFFFF" w:sz="24" w:space="0"/>
          <w:bottom w:val="single" w:color="FFFFFF" w:sz="24" w:space="0"/>
          <w:right w:val="single" w:color="FFFFFF" w:sz="24" w:space="0"/>
        </w:pBdr>
      </w:pPr>
      <w:bookmarkStart w:id="31" w:name="_Toc422820808"/>
      <w:bookmarkStart w:id="32" w:name="_Toc439324431"/>
      <w:bookmarkStart w:id="33" w:name="_Toc439953111"/>
      <w:bookmarkStart w:id="34" w:name="_Toc401122308"/>
      <w:r>
        <w:rPr>
          <w:rFonts w:hint="eastAsia"/>
        </w:rPr>
        <w:t>毕业生就业</w:t>
      </w:r>
      <w:bookmarkEnd w:id="31"/>
      <w:r>
        <w:rPr>
          <w:rFonts w:hint="eastAsia"/>
        </w:rPr>
        <w:t>工作举措</w:t>
      </w:r>
      <w:bookmarkEnd w:id="32"/>
      <w:bookmarkEnd w:id="33"/>
    </w:p>
    <w:p>
      <w:pPr>
        <w:ind w:firstLine="480"/>
        <w:rPr>
          <w:color w:val="000000"/>
        </w:rPr>
      </w:pPr>
      <w:r>
        <w:rPr>
          <w:rFonts w:hint="eastAsia"/>
          <w:color w:val="000000"/>
        </w:rPr>
        <w:t>学校高度重视毕业生就业工作，将就业工作作为人才培养的重要环节纳入学校教育质量提升工程，强化思想共识，整合有效资源，打造工作品牌，构建长效机制，完善工作体系，有效提升就业指导服务工作的专业化水平，举全校之力促进毕业生高质量、充分就业。</w:t>
      </w:r>
    </w:p>
    <w:p>
      <w:pPr>
        <w:pStyle w:val="4"/>
        <w:spacing w:before="156" w:after="156"/>
        <w:ind w:left="240"/>
      </w:pPr>
      <w:bookmarkStart w:id="35" w:name="_Toc439324432"/>
      <w:bookmarkStart w:id="36" w:name="_Toc439953112"/>
      <w:r>
        <w:rPr>
          <w:rFonts w:hint="eastAsia"/>
        </w:rPr>
        <w:t>（一）建立健全就业工作机制</w:t>
      </w:r>
      <w:bookmarkEnd w:id="35"/>
      <w:bookmarkEnd w:id="36"/>
    </w:p>
    <w:p>
      <w:pPr>
        <w:ind w:firstLine="480"/>
        <w:rPr>
          <w:color w:val="000000"/>
        </w:rPr>
      </w:pPr>
      <w:r>
        <w:rPr>
          <w:rFonts w:hint="eastAsia"/>
          <w:color w:val="000000"/>
        </w:rPr>
        <w:t>制度保障是一切工作的行为基础。为加强学生就业，我院各系着力健全学生就业指导工作制度，主要是配合学校就业处，本着“以学生为本”的工作理念，贯彻执行“转变管理职能，强化服务意识，加强就业指导，坚持政策导向，拓宽就业范围，培育就业市场”的就业工作方针。建立“以市场为导向，政府宏观调控，学校推荐，学生与用人单位双向选择”的就业机制，坚持“自主择业，竞争上岗，择优录用”的原则。</w:t>
      </w:r>
    </w:p>
    <w:p>
      <w:pPr>
        <w:ind w:firstLine="480"/>
        <w:rPr>
          <w:rFonts w:ascii="宋体"/>
          <w:color w:val="000000"/>
          <w:szCs w:val="24"/>
        </w:rPr>
      </w:pPr>
      <w:r>
        <w:rPr>
          <w:rFonts w:hint="eastAsia"/>
          <w:color w:val="000000"/>
        </w:rPr>
        <w:t>就业处是我校管理毕业生就业工作的核心部门。就业处根据国家教育部及上级有关部门的精神，制定学校毕业生就业工作政策，部署全校毕业生就业工作。</w:t>
      </w:r>
      <w:r>
        <w:rPr>
          <w:rFonts w:hint="eastAsia" w:ascii="宋体" w:hAnsi="宋体"/>
          <w:color w:val="000000"/>
          <w:szCs w:val="24"/>
        </w:rPr>
        <w:t>我校通过各种方式大力宣传国家就业政策，积极开展“到基层去，到艰苦地方去”的主题教育活动，帮助毕业生树立敢于吃苦，勇于挑战自我，为建设小康社会建功立业的思想，积极引导毕业生面向基层就业。同时，我校积极健全毕业生入伍工作体制，调动毕业生入伍积极性。积极主动配合当地兵役、教育、民政等部门切实落实毕业生入伍优惠政策，做好已入伍毕业生退役后的升学和就业等后续服务工作。切实体现我校学生积极响应祖国征召，踊跃报名应征，到祖国最需要的地方去建功立业。</w:t>
      </w:r>
    </w:p>
    <w:p>
      <w:pPr>
        <w:pStyle w:val="4"/>
        <w:keepNext w:val="0"/>
        <w:keepLines w:val="0"/>
        <w:pageBreakBefore w:val="0"/>
        <w:widowControl/>
        <w:kinsoku/>
        <w:wordWrap/>
        <w:overflowPunct/>
        <w:topLinePunct w:val="0"/>
        <w:autoSpaceDE/>
        <w:autoSpaceDN/>
        <w:bidi w:val="0"/>
        <w:adjustRightInd/>
        <w:snapToGrid/>
        <w:spacing w:before="157" w:beforeLines="50" w:after="156"/>
        <w:ind w:left="240" w:right="0" w:rightChars="0"/>
        <w:jc w:val="left"/>
        <w:textAlignment w:val="auto"/>
      </w:pPr>
      <w:bookmarkStart w:id="37" w:name="_Toc439953113"/>
      <w:bookmarkStart w:id="38" w:name="_Toc439324433"/>
      <w:r>
        <w:rPr>
          <w:rFonts w:hint="eastAsia"/>
        </w:rPr>
        <w:t>（二）加强校企合作，拓宽就业渠道</w:t>
      </w:r>
      <w:bookmarkEnd w:id="37"/>
      <w:bookmarkEnd w:id="38"/>
    </w:p>
    <w:p>
      <w:pPr>
        <w:keepNext w:val="0"/>
        <w:keepLines w:val="0"/>
        <w:pageBreakBefore w:val="0"/>
        <w:widowControl/>
        <w:kinsoku/>
        <w:wordWrap/>
        <w:overflowPunct/>
        <w:topLinePunct w:val="0"/>
        <w:autoSpaceDE/>
        <w:autoSpaceDN/>
        <w:bidi w:val="0"/>
        <w:adjustRightInd/>
        <w:snapToGrid/>
        <w:spacing w:before="157" w:beforeLines="50"/>
        <w:ind w:right="0" w:rightChars="0" w:firstLine="480"/>
        <w:jc w:val="left"/>
        <w:textAlignment w:val="auto"/>
        <w:rPr>
          <w:color w:val="000000"/>
        </w:rPr>
      </w:pPr>
      <w:r>
        <w:rPr>
          <w:rFonts w:hint="eastAsia"/>
          <w:color w:val="000000"/>
        </w:rPr>
        <w:t>学院积极开展校企合作，为毕业生拓宽就业渠道。积极主动联系</w:t>
      </w:r>
      <w:r>
        <w:rPr>
          <w:rFonts w:ascii="Times New Roman" w:hAnsi="Times New Roman"/>
          <w:color w:val="000000"/>
        </w:rPr>
        <w:t>201</w:t>
      </w:r>
      <w:r>
        <w:rPr>
          <w:rFonts w:hint="eastAsia" w:ascii="Times New Roman" w:hAnsi="Times New Roman"/>
          <w:color w:val="000000"/>
          <w:lang w:val="en-US" w:eastAsia="zh-CN"/>
        </w:rPr>
        <w:t>6</w:t>
      </w:r>
      <w:r>
        <w:rPr>
          <w:rFonts w:hint="eastAsia" w:ascii="Times New Roman" w:hAnsi="Times New Roman"/>
          <w:color w:val="000000"/>
        </w:rPr>
        <w:t>届</w:t>
      </w:r>
      <w:r>
        <w:rPr>
          <w:rFonts w:hint="eastAsia"/>
          <w:color w:val="000000"/>
        </w:rPr>
        <w:t>学生的就业单位，本年度，到我院招聘的用人单位约</w:t>
      </w:r>
      <w:r>
        <w:rPr>
          <w:rFonts w:hint="eastAsia" w:ascii="Times New Roman" w:hAnsi="Times New Roman"/>
          <w:color w:val="000000"/>
          <w:lang w:eastAsia="zh-CN"/>
        </w:rPr>
        <w:t>近</w:t>
      </w:r>
      <w:r>
        <w:rPr>
          <w:rFonts w:hint="eastAsia" w:ascii="Times New Roman" w:hAnsi="Times New Roman"/>
          <w:color w:val="000000"/>
          <w:lang w:val="en-US" w:eastAsia="zh-CN"/>
        </w:rPr>
        <w:t>300</w:t>
      </w:r>
      <w:r>
        <w:rPr>
          <w:rFonts w:hint="eastAsia" w:ascii="Times New Roman" w:hAnsi="Times New Roman"/>
          <w:color w:val="000000"/>
        </w:rPr>
        <w:t>余</w:t>
      </w:r>
      <w:r>
        <w:rPr>
          <w:rFonts w:hint="eastAsia"/>
          <w:color w:val="000000"/>
        </w:rPr>
        <w:t>家，</w:t>
      </w:r>
      <w:r>
        <w:rPr>
          <w:rFonts w:hint="eastAsia"/>
          <w:color w:val="000000"/>
          <w:lang w:eastAsia="zh-CN"/>
        </w:rPr>
        <w:t>为学生提供就业岗位约</w:t>
      </w:r>
      <w:r>
        <w:rPr>
          <w:rFonts w:hint="eastAsia"/>
          <w:color w:val="000000"/>
          <w:lang w:val="en-US" w:eastAsia="zh-CN"/>
        </w:rPr>
        <w:t>6000多个</w:t>
      </w:r>
      <w:r>
        <w:rPr>
          <w:rFonts w:hint="eastAsia"/>
          <w:color w:val="000000"/>
        </w:rPr>
        <w:t>。我院坚持以服务为宗旨，以就业为导向，以提高质量为核心，以产学研结合为发展路径，以合作育人、合作就业、合作发展为主线，通过技术合作、定向培养、社会培训、技能竞赛，共建实训基地、共同开发实训项目等运作方式，建立了校企合作长效机制，在深化教育教学改革中不断扩展和深化校企合作。</w:t>
      </w:r>
    </w:p>
    <w:p>
      <w:pPr>
        <w:ind w:firstLine="480"/>
        <w:rPr>
          <w:color w:val="000000"/>
        </w:rPr>
      </w:pPr>
      <w:r>
        <w:rPr>
          <w:rFonts w:hint="eastAsia"/>
          <w:color w:val="000000"/>
        </w:rPr>
        <w:t>学院按照“立足交通、面向市场、服务社会”的办学理念和“就业为导向、素质为本位、能力为核心”的人才培养思路完善人才培养方案，加强实验实训建设，加大与企业合作力度，与</w:t>
      </w:r>
      <w:r>
        <w:rPr>
          <w:rFonts w:hint="eastAsia"/>
          <w:color w:val="000000"/>
          <w:lang w:eastAsia="zh-CN"/>
        </w:rPr>
        <w:t>中国中铁一局集团有限公司、中国中铁二局集团有限公司、中国中铁四局集团有限公司、中国中铁五局集团有限公司、中国中铁七局集团有限公司、中国中铁八局集团有限公司、中国中铁九局集团有限公司、中国中铁隧道集团股份有限公司、中国铁建十一局集团有限公司、中国铁建十六局集团地铁公司、成都铁路局、中船重工重庆江增船舶重工有限公司、重庆长安集团汽车股份有限公司、新世纪游轮股份有限公司、天津航空有限责任公司、浙江顺丰速运集团有限公司</w:t>
      </w:r>
      <w:r>
        <w:rPr>
          <w:rFonts w:hint="eastAsia"/>
          <w:color w:val="000000"/>
        </w:rPr>
        <w:t>等企业签订了合作协议，共建了多个校内、外实习基地，建立了长期合作关系。</w:t>
      </w:r>
    </w:p>
    <w:p>
      <w:pPr>
        <w:ind w:firstLine="480"/>
        <w:rPr>
          <w:color w:val="000000"/>
        </w:rPr>
      </w:pPr>
      <w:r>
        <w:rPr>
          <w:rFonts w:hint="eastAsia"/>
          <w:color w:val="000000"/>
        </w:rPr>
        <w:t>我院为深化校企合作，带动人才培养方案的建设、教学模式的改革、教师能力的提高、学生技能的提高、就业渠道的拓展，</w:t>
      </w:r>
      <w:r>
        <w:rPr>
          <w:rFonts w:hint="eastAsia" w:ascii="Times New Roman" w:hAnsi="Times New Roman"/>
          <w:color w:val="000000"/>
        </w:rPr>
        <w:t>于</w:t>
      </w:r>
      <w:r>
        <w:rPr>
          <w:rFonts w:ascii="Times New Roman" w:hAnsi="Times New Roman"/>
          <w:color w:val="000000"/>
        </w:rPr>
        <w:t>2013</w:t>
      </w:r>
      <w:r>
        <w:rPr>
          <w:rFonts w:hint="eastAsia"/>
          <w:color w:val="000000"/>
        </w:rPr>
        <w:t>年开展“百名专家进课堂，百名教师进企业”工程建设（简称“双百工程建设”）。双百工程包括两个方面：一是</w:t>
      </w:r>
      <w:r>
        <w:rPr>
          <w:rFonts w:hint="eastAsia" w:ascii="Times New Roman" w:hAnsi="Times New Roman"/>
          <w:color w:val="000000"/>
        </w:rPr>
        <w:t>组织</w:t>
      </w:r>
      <w:r>
        <w:rPr>
          <w:rFonts w:ascii="Times New Roman" w:hAnsi="Times New Roman"/>
          <w:color w:val="000000"/>
        </w:rPr>
        <w:t>100</w:t>
      </w:r>
      <w:r>
        <w:rPr>
          <w:rFonts w:hint="eastAsia" w:ascii="Times New Roman" w:hAnsi="Times New Roman"/>
          <w:color w:val="000000"/>
        </w:rPr>
        <w:t>名企业行业专</w:t>
      </w:r>
      <w:r>
        <w:rPr>
          <w:rFonts w:hint="eastAsia"/>
          <w:color w:val="000000"/>
        </w:rPr>
        <w:t>家进课堂。二是组织</w:t>
      </w:r>
      <w:r>
        <w:rPr>
          <w:rFonts w:ascii="Times New Roman" w:hAnsi="Times New Roman"/>
          <w:color w:val="000000"/>
        </w:rPr>
        <w:t>100</w:t>
      </w:r>
      <w:r>
        <w:rPr>
          <w:rFonts w:hint="eastAsia"/>
          <w:color w:val="000000"/>
        </w:rPr>
        <w:t>名教师进企业。</w:t>
      </w:r>
    </w:p>
    <w:p>
      <w:pPr>
        <w:pStyle w:val="4"/>
        <w:keepNext w:val="0"/>
        <w:keepLines w:val="0"/>
        <w:pageBreakBefore w:val="0"/>
        <w:widowControl/>
        <w:kinsoku/>
        <w:wordWrap/>
        <w:overflowPunct/>
        <w:topLinePunct w:val="0"/>
        <w:autoSpaceDE/>
        <w:autoSpaceDN/>
        <w:bidi w:val="0"/>
        <w:adjustRightInd/>
        <w:snapToGrid/>
        <w:spacing w:before="157" w:beforeLines="50" w:after="156"/>
        <w:ind w:left="240" w:right="0" w:rightChars="0"/>
        <w:jc w:val="left"/>
        <w:textAlignment w:val="auto"/>
      </w:pPr>
      <w:bookmarkStart w:id="39" w:name="_Toc439953114"/>
      <w:bookmarkStart w:id="40" w:name="_Toc439324434"/>
      <w:r>
        <w:rPr>
          <w:rFonts w:hint="eastAsia"/>
        </w:rPr>
        <w:t>（三）推进创新创业教育和自主创业</w:t>
      </w:r>
      <w:bookmarkEnd w:id="39"/>
      <w:bookmarkEnd w:id="40"/>
    </w:p>
    <w:p>
      <w:pPr>
        <w:pStyle w:val="23"/>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right="0" w:rightChars="0" w:firstLine="480" w:firstLineChars="200"/>
        <w:jc w:val="left"/>
        <w:textAlignment w:val="auto"/>
        <w:outlineLvl w:val="9"/>
        <w:rPr>
          <w:rFonts w:ascii="宋体" w:hAnsi="宋体" w:eastAsia="宋体"/>
          <w:b w:val="0"/>
          <w:sz w:val="24"/>
          <w:szCs w:val="24"/>
        </w:rPr>
      </w:pPr>
      <w:r>
        <w:rPr>
          <w:rFonts w:hint="eastAsia" w:ascii="宋体" w:hAnsi="宋体" w:eastAsia="宋体"/>
          <w:b w:val="0"/>
          <w:sz w:val="24"/>
          <w:szCs w:val="24"/>
        </w:rPr>
        <w:t>学校秉承“大众创业，万众创新”理念、鼓励学生创新创业、学校严格按照《教育部关于做好做好</w:t>
      </w:r>
      <w:r>
        <w:rPr>
          <w:rFonts w:ascii="宋体" w:hAnsi="宋体" w:eastAsia="宋体"/>
          <w:b w:val="0"/>
          <w:sz w:val="24"/>
          <w:szCs w:val="24"/>
        </w:rPr>
        <w:t>201</w:t>
      </w:r>
      <w:r>
        <w:rPr>
          <w:rFonts w:hint="eastAsia" w:ascii="宋体" w:hAnsi="宋体" w:eastAsia="宋体"/>
          <w:b w:val="0"/>
          <w:sz w:val="24"/>
          <w:szCs w:val="24"/>
          <w:lang w:val="en-US" w:eastAsia="zh-CN"/>
        </w:rPr>
        <w:t>6</w:t>
      </w:r>
      <w:r>
        <w:rPr>
          <w:rFonts w:hint="eastAsia" w:ascii="宋体" w:hAnsi="宋体" w:eastAsia="宋体"/>
          <w:b w:val="0"/>
          <w:sz w:val="24"/>
          <w:szCs w:val="24"/>
        </w:rPr>
        <w:t>普通高校毕业生就业创业的通知》要求，以“大众创业，万众创新”为引领，强化创新创业课程建设，提高学生创新创业能力，充分利用学生创新创业激情和意愿进行相关方面的指导，对有创业意向的毕业生做出相关政策引导，促进学生转变就业、创业观念，树立正确的就业观和择业观。以河海系为例，在第三学期该系开设了创新创业教育课程，从政策、形式、定位、产品、运营等方面传授经验，从技术、思维、需求等方面拓宽学生视野。以“创业大赛”为基础，鼓励指导学生立足本专业，拓展他专业进行创业。如由航海技术专业和轮机工程技术两个专业学生筹备成立的“船员证件查询寄取服务平台”，正是基于专业基础、学院基础上的创新创业项目。</w:t>
      </w:r>
    </w:p>
    <w:p>
      <w:pPr>
        <w:pStyle w:val="4"/>
        <w:spacing w:before="156" w:after="156"/>
        <w:ind w:left="240"/>
      </w:pPr>
      <w:bookmarkStart w:id="41" w:name="_Toc439953115"/>
      <w:bookmarkStart w:id="42" w:name="_Toc439324435"/>
      <w:r>
        <w:rPr>
          <w:rFonts w:hint="eastAsia"/>
        </w:rPr>
        <w:t>（四）职业指导与规划</w:t>
      </w:r>
      <w:bookmarkEnd w:id="41"/>
      <w:bookmarkEnd w:id="42"/>
    </w:p>
    <w:p>
      <w:pPr>
        <w:ind w:firstLine="480"/>
        <w:rPr>
          <w:color w:val="000000"/>
        </w:rPr>
      </w:pPr>
      <w:r>
        <w:rPr>
          <w:rFonts w:hint="eastAsia"/>
          <w:color w:val="000000"/>
        </w:rPr>
        <w:t>每位学生从入学参加职业教育开始，学校开设职业生涯课指导学生制定职业规划，让学生对自己有一个清晰地努力方向，并在学生的大三学年开设就业指导课，指导学生就创业以及其他服务活动，为学生提供充分的就业条件。学院针对困难生，还设立了勤工助学岗位，建立动态档案等，为每一位学生提供保障。每年毕业季，学院网站招聘信息会及时发布，并且辅导员会积极动员毕业生，帮助学生修改简历，给予择业指导与建议等，同时学院每年会举办多场专业招聘会，为学生就业提供有力支持。</w:t>
      </w:r>
    </w:p>
    <w:p>
      <w:pPr>
        <w:pStyle w:val="4"/>
        <w:spacing w:before="156" w:after="156"/>
        <w:ind w:left="240"/>
      </w:pPr>
      <w:bookmarkStart w:id="43" w:name="_Toc439324436"/>
      <w:bookmarkStart w:id="44" w:name="_Toc439953116"/>
      <w:r>
        <w:rPr>
          <w:rFonts w:hint="eastAsia"/>
        </w:rPr>
        <w:t>（五）就业实践活动</w:t>
      </w:r>
      <w:bookmarkEnd w:id="43"/>
      <w:bookmarkEnd w:id="44"/>
    </w:p>
    <w:p>
      <w:pPr>
        <w:ind w:firstLine="480"/>
        <w:rPr>
          <w:color w:val="000000"/>
        </w:rPr>
      </w:pPr>
      <w:r>
        <w:rPr>
          <w:rFonts w:hint="eastAsia"/>
          <w:color w:val="000000"/>
        </w:rPr>
        <w:t>形式多样，丰富多彩的就业实践活动可以寓教于乐，激发学生的学习兴趣。我院各大主要院系均根据各自专业特点组织了不同形式的就业实践活动。</w:t>
      </w:r>
      <w:r>
        <w:rPr>
          <w:rFonts w:hint="eastAsia"/>
          <w:color w:val="000000"/>
          <w:lang w:eastAsia="zh-CN"/>
        </w:rPr>
        <w:t>我校学生在第九届“高教杯”全国大学生先进成图技术与产品信息建模创新大赛中，共计获得个人全能二等奖、建模单项一等奖、建模单项二等奖及尺规作图二等奖等多项荣誉。我校</w:t>
      </w:r>
      <w:r>
        <w:rPr>
          <w:rFonts w:hint="eastAsia"/>
          <w:color w:val="000000"/>
        </w:rPr>
        <w:t>道路桥梁系中工程测量技术专业开办于</w:t>
      </w:r>
      <w:r>
        <w:rPr>
          <w:color w:val="000000"/>
        </w:rPr>
        <w:t>2012</w:t>
      </w:r>
      <w:r>
        <w:rPr>
          <w:rFonts w:hint="eastAsia"/>
          <w:color w:val="000000"/>
        </w:rPr>
        <w:t>年，是中央与地方财政共建专业，目前工程测量技术专业学生</w:t>
      </w:r>
      <w:r>
        <w:rPr>
          <w:rFonts w:hint="eastAsia"/>
          <w:color w:val="000000"/>
          <w:lang w:eastAsia="zh-CN"/>
        </w:rPr>
        <w:t>在</w:t>
      </w:r>
      <w:r>
        <w:rPr>
          <w:rFonts w:hint="eastAsia"/>
          <w:color w:val="000000"/>
        </w:rPr>
        <w:t>参加</w:t>
      </w:r>
      <w:r>
        <w:rPr>
          <w:rFonts w:hint="eastAsia"/>
          <w:color w:val="000000"/>
          <w:lang w:eastAsia="zh-CN"/>
        </w:rPr>
        <w:t>全国职业院校技能大赛测绘竞赛中，荣获团体一等奖、二等奖等多项大奖，在</w:t>
      </w:r>
      <w:r>
        <w:rPr>
          <w:rFonts w:hint="eastAsia"/>
          <w:color w:val="000000"/>
        </w:rPr>
        <w:t>重庆市第七届、第八届高职学生技能竞赛测绘项目</w:t>
      </w:r>
      <w:r>
        <w:rPr>
          <w:rFonts w:hint="eastAsia"/>
          <w:color w:val="000000"/>
          <w:lang w:eastAsia="zh-CN"/>
        </w:rPr>
        <w:t>中</w:t>
      </w:r>
      <w:r>
        <w:rPr>
          <w:rFonts w:hint="eastAsia"/>
          <w:color w:val="000000"/>
        </w:rPr>
        <w:t>，共计荣获团体二等奖一项，团体三等奖两项，单项三等奖两项；并在全国高职技能竞赛测绘项目中荣获“数字测图”、“一级导线”、“二等水准”三项团体二等奖。</w:t>
      </w:r>
      <w:r>
        <w:rPr>
          <w:rFonts w:hint="eastAsia"/>
          <w:color w:val="000000"/>
          <w:lang w:eastAsia="zh-CN"/>
        </w:rPr>
        <w:t>此外，车辆与机械工程学院学生参加了全国职业院校技能大赛汽车检测与维修赛项中荣获团体二等奖。</w:t>
      </w:r>
      <w:r>
        <w:rPr>
          <w:rFonts w:hint="eastAsia"/>
          <w:color w:val="000000"/>
        </w:rPr>
        <w:t>获奖学生也获得保送本科资格，河海系针对各专业成立了旗语社、内河航运社两个专业社团，将行业内课堂外的拓展知识以社团活动的形式传授给学生；每学期每个专业举办技能大赛，针对港口与航运管理专业，多次举办内河港区布置与分区技能大赛；针对航海技术举办了撇揽技能大赛；针对轮机工程技术举办了柴油机常见故障速解技能大赛；针对水利工程施工技术专业举办了工程测量技能大赛等等，极大地丰富了学生的专业知识与课下生活。汽车系组织学生积极参与各类就业实践活动，增加学生的动手实践能力，一方面，学院设置了专业相关性的社团，为学生创新创业提供有力条件，同时，学院提倡专业教师指导，积极组织学生参加校内外的各类技能大赛，比如，学校组织的发动机拆装技能大赛，车工技能大赛，底盘维护作业技能大赛，动机拆、检、装技能大赛，发电机拆、检、装技能大赛等。在第六届全国中、高等院校学生“斯维尔杯”建筑信息模型</w:t>
      </w:r>
      <w:r>
        <w:rPr>
          <w:color w:val="000000"/>
        </w:rPr>
        <w:t>(BIM)</w:t>
      </w:r>
      <w:r>
        <w:rPr>
          <w:rFonts w:hint="eastAsia"/>
          <w:color w:val="000000"/>
        </w:rPr>
        <w:t>应用技能大赛总决赛上，建筑系派出的参赛队进入大赛全部项目的总决赛。</w:t>
      </w:r>
    </w:p>
    <w:p>
      <w:pPr>
        <w:pStyle w:val="3"/>
      </w:pPr>
      <w:bookmarkStart w:id="45" w:name="_Toc439953117"/>
      <w:r>
        <w:rPr>
          <w:rFonts w:hint="eastAsia"/>
        </w:rPr>
        <w:t>二</w:t>
      </w:r>
      <w:r>
        <w:t>、毕业生对就业指导服务的评价</w:t>
      </w:r>
      <w:bookmarkEnd w:id="45"/>
      <w:r>
        <w:tab/>
      </w:r>
    </w:p>
    <w:p>
      <w:pPr>
        <w:pStyle w:val="18"/>
        <w:spacing w:before="312" w:after="156"/>
        <w:ind w:firstLine="482"/>
        <w:rPr>
          <w:sz w:val="24"/>
          <w:szCs w:val="24"/>
        </w:rPr>
      </w:pPr>
      <w:r>
        <w:rPr>
          <w:rFonts w:hint="eastAsia"/>
          <w:sz w:val="24"/>
          <w:szCs w:val="24"/>
        </w:rPr>
        <w:t>学校</w:t>
      </w:r>
      <w:r>
        <w:rPr>
          <w:sz w:val="24"/>
          <w:szCs w:val="24"/>
        </w:rPr>
        <w:t>毕业生对母校各项就业指导服务的参与度均</w:t>
      </w:r>
      <w:r>
        <w:rPr>
          <w:rFonts w:hint="eastAsia"/>
          <w:sz w:val="24"/>
          <w:szCs w:val="24"/>
        </w:rPr>
        <w:t>在</w:t>
      </w:r>
      <w:r>
        <w:rPr>
          <w:rFonts w:ascii="Times New Roman" w:hAnsi="Times New Roman" w:cs="Times New Roman"/>
          <w:sz w:val="24"/>
          <w:szCs w:val="24"/>
        </w:rPr>
        <w:t>9</w:t>
      </w:r>
      <w:r>
        <w:rPr>
          <w:rFonts w:hint="eastAsia" w:ascii="Times New Roman" w:hAnsi="Times New Roman" w:cs="Times New Roman"/>
          <w:sz w:val="24"/>
          <w:szCs w:val="24"/>
          <w:lang w:val="en-US" w:eastAsia="zh-CN"/>
        </w:rPr>
        <w:t>5</w:t>
      </w:r>
      <w:r>
        <w:rPr>
          <w:rFonts w:ascii="Times New Roman" w:hAnsi="Times New Roman" w:cs="Times New Roman"/>
          <w:sz w:val="24"/>
          <w:szCs w:val="24"/>
        </w:rPr>
        <w:t>%</w:t>
      </w:r>
      <w:r>
        <w:rPr>
          <w:rFonts w:hint="eastAsia"/>
          <w:sz w:val="24"/>
          <w:szCs w:val="24"/>
        </w:rPr>
        <w:t>以上，其中</w:t>
      </w:r>
      <w:r>
        <w:rPr>
          <w:sz w:val="24"/>
          <w:szCs w:val="24"/>
        </w:rPr>
        <w:t>参与度最高的三方面是</w:t>
      </w:r>
      <w:r>
        <w:rPr>
          <w:sz w:val="24"/>
          <w:szCs w:val="24"/>
        </w:rPr>
        <w:fldChar w:fldCharType="begin"/>
      </w:r>
      <w:r>
        <w:rPr>
          <w:sz w:val="24"/>
          <w:szCs w:val="24"/>
        </w:rPr>
        <w:instrText xml:space="preserve"> LINK Excel.Sheet.8</w:instrText>
      </w:r>
      <w:r>
        <w:rPr>
          <w:rFonts w:hint="eastAsia"/>
          <w:sz w:val="24"/>
          <w:szCs w:val="24"/>
        </w:rPr>
        <w:instrText xml:space="preserve"> D:\\duiwai\\对外单学历图.xls 文字性内容!R38C3 </w:instrText>
      </w:r>
      <w:r>
        <w:rPr>
          <w:sz w:val="24"/>
          <w:szCs w:val="24"/>
        </w:rPr>
        <w:instrText xml:space="preserve">\a \t  \* MERGEFORMAT </w:instrText>
      </w:r>
      <w:r>
        <w:rPr>
          <w:sz w:val="24"/>
          <w:szCs w:val="24"/>
        </w:rPr>
        <w:fldChar w:fldCharType="separate"/>
      </w:r>
      <w:r>
        <w:rPr>
          <w:rFonts w:hint="eastAsia"/>
          <w:sz w:val="24"/>
          <w:szCs w:val="24"/>
        </w:rPr>
        <w:t>就业实习/实践</w:t>
      </w:r>
      <w:r>
        <w:rPr>
          <w:sz w:val="24"/>
          <w:szCs w:val="24"/>
        </w:rPr>
        <w:fldChar w:fldCharType="end"/>
      </w:r>
      <w:r>
        <w:rPr>
          <w:rFonts w:ascii="Times New Roman" w:hAnsi="Times New Roman" w:cs="Times New Roman"/>
          <w:sz w:val="24"/>
          <w:szCs w:val="24"/>
        </w:rPr>
        <w:t>（97.8</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hint="eastAsia"/>
          <w:sz w:val="24"/>
          <w:szCs w:val="24"/>
        </w:rPr>
        <w:t>、就业</w:t>
      </w:r>
      <w:r>
        <w:rPr>
          <w:sz w:val="24"/>
          <w:szCs w:val="24"/>
        </w:rPr>
        <w:t>手续办理</w:t>
      </w:r>
      <w:r>
        <w:rPr>
          <w:rFonts w:ascii="Times New Roman" w:hAnsi="Times New Roman" w:cs="Times New Roman"/>
          <w:sz w:val="24"/>
          <w:szCs w:val="24"/>
        </w:rPr>
        <w:t>（97.</w:t>
      </w:r>
      <w:r>
        <w:rPr>
          <w:rFonts w:hint="eastAsia" w:ascii="Times New Roman" w:hAnsi="Times New Roman" w:cs="Times New Roman"/>
          <w:sz w:val="24"/>
          <w:szCs w:val="24"/>
          <w:lang w:val="en-US" w:eastAsia="zh-CN"/>
        </w:rPr>
        <w:t>16</w:t>
      </w:r>
      <w:r>
        <w:rPr>
          <w:rFonts w:ascii="Times New Roman" w:hAnsi="Times New Roman" w:cs="Times New Roman"/>
          <w:sz w:val="24"/>
          <w:szCs w:val="24"/>
        </w:rPr>
        <w:t>%）</w:t>
      </w:r>
      <w:r>
        <w:rPr>
          <w:sz w:val="24"/>
          <w:szCs w:val="24"/>
        </w:rPr>
        <w:t>和</w:t>
      </w:r>
      <w:r>
        <w:rPr>
          <w:sz w:val="24"/>
          <w:szCs w:val="24"/>
        </w:rPr>
        <w:fldChar w:fldCharType="begin"/>
      </w:r>
      <w:r>
        <w:rPr>
          <w:sz w:val="24"/>
          <w:szCs w:val="24"/>
        </w:rPr>
        <w:instrText xml:space="preserve"> LINK Excel.Sheet.8</w:instrText>
      </w:r>
      <w:r>
        <w:rPr>
          <w:rFonts w:hint="eastAsia"/>
          <w:sz w:val="24"/>
          <w:szCs w:val="24"/>
        </w:rPr>
        <w:instrText xml:space="preserve"> D:\\duiwai\\对外单学历图.xls 文字性内容!R40C3 </w:instrText>
      </w:r>
      <w:r>
        <w:rPr>
          <w:sz w:val="24"/>
          <w:szCs w:val="24"/>
        </w:rPr>
        <w:instrText xml:space="preserve">\a \t  \* MERGEFORMAT </w:instrText>
      </w:r>
      <w:r>
        <w:rPr>
          <w:sz w:val="24"/>
          <w:szCs w:val="24"/>
        </w:rPr>
        <w:fldChar w:fldCharType="separate"/>
      </w:r>
      <w:r>
        <w:rPr>
          <w:rFonts w:hint="eastAsia"/>
          <w:sz w:val="24"/>
          <w:szCs w:val="24"/>
        </w:rPr>
        <w:t>就业指导课</w:t>
      </w:r>
      <w:r>
        <w:rPr>
          <w:sz w:val="24"/>
          <w:szCs w:val="24"/>
        </w:rPr>
        <w:fldChar w:fldCharType="end"/>
      </w:r>
      <w:r>
        <w:rPr>
          <w:rFonts w:ascii="Times New Roman" w:hAnsi="Times New Roman" w:cs="Times New Roman"/>
          <w:sz w:val="24"/>
          <w:szCs w:val="24"/>
        </w:rPr>
        <w:t>（</w:t>
      </w:r>
      <w:r>
        <w:rPr>
          <w:rFonts w:hint="eastAsia" w:ascii="Times New Roman" w:hAnsi="Times New Roman" w:cs="Times New Roman"/>
          <w:sz w:val="24"/>
          <w:szCs w:val="24"/>
          <w:lang w:val="en-US" w:eastAsia="zh-CN"/>
        </w:rPr>
        <w:t>97.52</w:t>
      </w:r>
      <w:r>
        <w:rPr>
          <w:rFonts w:ascii="Times New Roman" w:hAnsi="Times New Roman" w:cs="Times New Roman"/>
          <w:sz w:val="24"/>
          <w:szCs w:val="24"/>
        </w:rPr>
        <w:t>%）</w:t>
      </w:r>
    </w:p>
    <w:p>
      <w:pPr>
        <w:ind w:firstLine="0" w:firstLineChars="0"/>
      </w:pPr>
      <w:r>
        <w:drawing>
          <wp:inline distT="0" distB="0" distL="114300" distR="114300">
            <wp:extent cx="5181600" cy="2693670"/>
            <wp:effectExtent l="0" t="0" r="0" b="11430"/>
            <wp:docPr id="956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19"/>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p>
    <w:p/>
    <w:p>
      <w:pPr>
        <w:pStyle w:val="18"/>
        <w:spacing w:before="312" w:after="156"/>
        <w:ind w:firstLine="482"/>
        <w:rPr>
          <w:sz w:val="24"/>
          <w:szCs w:val="24"/>
        </w:rPr>
      </w:pPr>
      <w:r>
        <w:rPr>
          <w:rFonts w:hint="eastAsia"/>
          <w:sz w:val="24"/>
          <w:szCs w:val="24"/>
        </w:rPr>
        <w:t>学校毕业生</w:t>
      </w:r>
      <w:r>
        <w:rPr>
          <w:sz w:val="24"/>
          <w:szCs w:val="24"/>
        </w:rPr>
        <w:t>对</w:t>
      </w:r>
      <w:r>
        <w:rPr>
          <w:rFonts w:hint="eastAsia"/>
          <w:sz w:val="24"/>
          <w:szCs w:val="24"/>
        </w:rPr>
        <w:t>母校各项</w:t>
      </w:r>
      <w:r>
        <w:rPr>
          <w:sz w:val="24"/>
          <w:szCs w:val="24"/>
        </w:rPr>
        <w:t>就业指导服务</w:t>
      </w:r>
      <w:r>
        <w:rPr>
          <w:rFonts w:hint="eastAsia"/>
          <w:sz w:val="24"/>
          <w:szCs w:val="24"/>
        </w:rPr>
        <w:t>满意</w:t>
      </w:r>
      <w:r>
        <w:rPr>
          <w:sz w:val="24"/>
          <w:szCs w:val="24"/>
        </w:rPr>
        <w:t>度均</w:t>
      </w:r>
      <w:r>
        <w:rPr>
          <w:rFonts w:hint="eastAsia"/>
          <w:sz w:val="24"/>
          <w:szCs w:val="24"/>
        </w:rPr>
        <w:t>较高，其中满意度</w:t>
      </w:r>
      <w:r>
        <w:rPr>
          <w:sz w:val="24"/>
          <w:szCs w:val="24"/>
        </w:rPr>
        <w:t>最高的三方面是</w:t>
      </w:r>
      <w:r>
        <w:rPr>
          <w:rFonts w:hint="eastAsia"/>
          <w:sz w:val="24"/>
          <w:szCs w:val="24"/>
        </w:rPr>
        <w:t>就业</w:t>
      </w:r>
      <w:r>
        <w:rPr>
          <w:sz w:val="24"/>
          <w:szCs w:val="24"/>
        </w:rPr>
        <w:t>指导课</w:t>
      </w:r>
      <w:r>
        <w:rPr>
          <w:rFonts w:ascii="Times New Roman" w:hAnsi="Times New Roman" w:cs="Times New Roman"/>
          <w:sz w:val="24"/>
          <w:szCs w:val="24"/>
        </w:rPr>
        <w:t>（</w:t>
      </w:r>
      <w:r>
        <w:rPr>
          <w:rFonts w:hint="eastAsia" w:ascii="Times New Roman" w:hAnsi="Times New Roman" w:cs="Times New Roman"/>
          <w:sz w:val="24"/>
          <w:szCs w:val="24"/>
          <w:lang w:val="en-US" w:eastAsia="zh-CN"/>
        </w:rPr>
        <w:t>87.23</w:t>
      </w:r>
      <w:r>
        <w:rPr>
          <w:rFonts w:ascii="Times New Roman" w:hAnsi="Times New Roman" w:cs="Times New Roman"/>
          <w:sz w:val="24"/>
          <w:szCs w:val="24"/>
        </w:rPr>
        <w:t>%）</w:t>
      </w:r>
      <w:r>
        <w:rPr>
          <w:sz w:val="24"/>
          <w:szCs w:val="24"/>
        </w:rPr>
        <w:t>、就业实习</w:t>
      </w:r>
      <w:r>
        <w:rPr>
          <w:rFonts w:hint="eastAsia"/>
          <w:sz w:val="24"/>
          <w:szCs w:val="24"/>
        </w:rPr>
        <w:t>/实践</w:t>
      </w:r>
      <w:r>
        <w:rPr>
          <w:rFonts w:ascii="Times New Roman" w:hAnsi="Times New Roman" w:cs="Times New Roman"/>
          <w:sz w:val="24"/>
          <w:szCs w:val="24"/>
        </w:rPr>
        <w:t>（</w:t>
      </w:r>
      <w:r>
        <w:rPr>
          <w:rFonts w:hint="eastAsia" w:ascii="Times New Roman" w:hAnsi="Times New Roman" w:cs="Times New Roman"/>
          <w:sz w:val="24"/>
          <w:szCs w:val="24"/>
          <w:lang w:val="en-US" w:eastAsia="zh-CN"/>
        </w:rPr>
        <w:t>86.53</w:t>
      </w:r>
      <w:r>
        <w:rPr>
          <w:rFonts w:ascii="Times New Roman" w:hAnsi="Times New Roman" w:cs="Times New Roman"/>
          <w:sz w:val="24"/>
          <w:szCs w:val="24"/>
        </w:rPr>
        <w:t>%）</w:t>
      </w:r>
      <w:r>
        <w:rPr>
          <w:sz w:val="24"/>
          <w:szCs w:val="24"/>
        </w:rPr>
        <w:t>和</w:t>
      </w:r>
      <w:r>
        <w:rPr>
          <w:rFonts w:hint="eastAsia"/>
          <w:sz w:val="24"/>
          <w:szCs w:val="24"/>
          <w:lang w:eastAsia="zh-CN"/>
        </w:rPr>
        <w:t>职业咨询与辅导</w:t>
      </w:r>
      <w:r>
        <w:rPr>
          <w:rFonts w:ascii="Times New Roman" w:hAnsi="Times New Roman" w:cs="Times New Roman"/>
          <w:sz w:val="24"/>
          <w:szCs w:val="24"/>
        </w:rPr>
        <w:t>（</w:t>
      </w:r>
      <w:r>
        <w:rPr>
          <w:rFonts w:hint="eastAsia" w:ascii="Times New Roman" w:hAnsi="Times New Roman" w:cs="Times New Roman"/>
          <w:sz w:val="24"/>
          <w:szCs w:val="24"/>
          <w:lang w:val="en-US" w:eastAsia="zh-CN"/>
        </w:rPr>
        <w:t>85.64</w:t>
      </w:r>
      <w:r>
        <w:rPr>
          <w:rFonts w:ascii="Times New Roman" w:hAnsi="Times New Roman" w:cs="Times New Roman"/>
          <w:sz w:val="24"/>
          <w:szCs w:val="24"/>
        </w:rPr>
        <w:t>%）</w:t>
      </w:r>
    </w:p>
    <w:p>
      <w:pPr>
        <w:ind w:firstLine="0" w:firstLineChars="0"/>
      </w:pPr>
      <w:r>
        <w:drawing>
          <wp:inline distT="0" distB="0" distL="0" distR="0">
            <wp:extent cx="4930140" cy="1958340"/>
            <wp:effectExtent l="0" t="0" r="3810" b="381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19"/>
        <w:sectPr>
          <w:pgSz w:w="11906" w:h="16838"/>
          <w:pgMar w:top="1440" w:right="1800" w:bottom="1440" w:left="1800" w:header="851" w:footer="992" w:gutter="0"/>
          <w:cols w:space="425" w:num="1"/>
          <w:docGrid w:type="lines" w:linePitch="312" w:charSpace="0"/>
        </w:sectPr>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p>
    <w:p>
      <w:pPr>
        <w:pStyle w:val="3"/>
      </w:pPr>
      <w:bookmarkStart w:id="46" w:name="_Toc439953118"/>
      <w:r>
        <w:rPr>
          <w:rFonts w:hint="eastAsia"/>
        </w:rPr>
        <w:t>三</w:t>
      </w:r>
      <w:r>
        <w:t>、毕业生对创业</w:t>
      </w:r>
      <w:r>
        <w:rPr>
          <w:rFonts w:hint="eastAsia"/>
        </w:rPr>
        <w:t>教育</w:t>
      </w:r>
      <w:r>
        <w:t>/</w:t>
      </w:r>
      <w:r>
        <w:rPr>
          <w:rFonts w:hint="eastAsia"/>
        </w:rPr>
        <w:t>指导</w:t>
      </w:r>
      <w:r>
        <w:t>服务</w:t>
      </w:r>
      <w:r>
        <w:rPr>
          <w:rFonts w:hint="eastAsia"/>
        </w:rPr>
        <w:t>的</w:t>
      </w:r>
      <w:r>
        <w:t>评价</w:t>
      </w:r>
      <w:bookmarkEnd w:id="46"/>
    </w:p>
    <w:p>
      <w:pPr>
        <w:pStyle w:val="18"/>
        <w:spacing w:before="312" w:after="156"/>
        <w:ind w:firstLine="482"/>
        <w:rPr>
          <w:sz w:val="24"/>
          <w:szCs w:val="24"/>
        </w:rPr>
      </w:pPr>
      <w:r>
        <w:rPr>
          <w:rFonts w:hint="eastAsia"/>
          <w:sz w:val="24"/>
          <w:szCs w:val="24"/>
        </w:rPr>
        <w:t>学校</w:t>
      </w:r>
      <w:r>
        <w:rPr>
          <w:rFonts w:hint="eastAsia"/>
          <w:sz w:val="24"/>
          <w:szCs w:val="24"/>
          <w:lang w:eastAsia="zh-CN"/>
        </w:rPr>
        <w:t>自主创业的</w:t>
      </w:r>
      <w:r>
        <w:rPr>
          <w:rStyle w:val="21"/>
          <w:rFonts w:hint="eastAsia"/>
          <w:b/>
          <w:caps/>
          <w:sz w:val="24"/>
          <w:szCs w:val="24"/>
        </w:rPr>
        <w:t>毕业生对各项创业教育</w:t>
      </w:r>
      <w:r>
        <w:rPr>
          <w:rStyle w:val="21"/>
          <w:b/>
          <w:caps/>
          <w:sz w:val="24"/>
          <w:szCs w:val="24"/>
        </w:rPr>
        <w:t>/</w:t>
      </w:r>
      <w:r>
        <w:rPr>
          <w:rStyle w:val="21"/>
          <w:rFonts w:hint="eastAsia"/>
          <w:b/>
          <w:caps/>
          <w:sz w:val="24"/>
          <w:szCs w:val="24"/>
        </w:rPr>
        <w:t>指导服务的参与度均较高，其中创业相关课程、创新创业大赛以及创业项目孵化的参与度最高，</w:t>
      </w:r>
      <w:r>
        <w:rPr>
          <w:rStyle w:val="21"/>
          <w:b/>
          <w:caps/>
          <w:sz w:val="24"/>
          <w:szCs w:val="24"/>
        </w:rPr>
        <w:t>达到</w:t>
      </w:r>
      <w:r>
        <w:rPr>
          <w:rStyle w:val="21"/>
          <w:rFonts w:hint="default" w:ascii="Times New Roman" w:hAnsi="Times New Roman" w:cs="Times New Roman"/>
          <w:b/>
          <w:caps/>
          <w:sz w:val="24"/>
          <w:szCs w:val="24"/>
          <w:lang w:val="en-US"/>
        </w:rPr>
        <w:t>90</w:t>
      </w:r>
      <w:r>
        <w:rPr>
          <w:rStyle w:val="21"/>
          <w:rFonts w:hint="default" w:ascii="Times New Roman" w:hAnsi="Times New Roman" w:cs="Times New Roman"/>
          <w:b/>
          <w:caps/>
          <w:sz w:val="24"/>
          <w:szCs w:val="24"/>
        </w:rPr>
        <w:t>%</w:t>
      </w:r>
      <w:r>
        <w:rPr>
          <w:rStyle w:val="21"/>
          <w:rFonts w:hint="eastAsia" w:ascii="Times New Roman" w:hAnsi="Times New Roman" w:cs="Times New Roman"/>
          <w:b/>
          <w:caps/>
          <w:sz w:val="24"/>
          <w:szCs w:val="24"/>
        </w:rPr>
        <w:t>。</w:t>
      </w:r>
    </w:p>
    <w:p>
      <w:pPr>
        <w:ind w:firstLine="0" w:firstLineChars="0"/>
      </w:pPr>
      <w:r>
        <w:drawing>
          <wp:inline distT="0" distB="0" distL="0" distR="0">
            <wp:extent cx="5341620" cy="2872740"/>
            <wp:effectExtent l="0" t="0" r="11430" b="381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19"/>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p>
    <w:p>
      <w:pPr>
        <w:pStyle w:val="18"/>
        <w:spacing w:before="312" w:after="156"/>
        <w:ind w:firstLine="482"/>
        <w:rPr>
          <w:sz w:val="24"/>
          <w:szCs w:val="24"/>
        </w:rPr>
      </w:pPr>
      <w:r>
        <w:rPr>
          <w:rFonts w:hint="eastAsia"/>
          <w:sz w:val="24"/>
          <w:szCs w:val="24"/>
        </w:rPr>
        <w:t>学校</w:t>
      </w:r>
      <w:r>
        <w:rPr>
          <w:rFonts w:hint="eastAsia"/>
          <w:sz w:val="24"/>
          <w:szCs w:val="24"/>
          <w:lang w:eastAsia="zh-CN"/>
        </w:rPr>
        <w:t>自主创业的</w:t>
      </w:r>
      <w:r>
        <w:rPr>
          <w:rStyle w:val="21"/>
          <w:rFonts w:hint="eastAsia"/>
          <w:b/>
          <w:caps/>
          <w:sz w:val="24"/>
          <w:szCs w:val="24"/>
        </w:rPr>
        <w:t>毕业生对母校各项创业教育</w:t>
      </w:r>
      <w:r>
        <w:rPr>
          <w:rStyle w:val="21"/>
          <w:b/>
          <w:caps/>
          <w:sz w:val="24"/>
          <w:szCs w:val="24"/>
        </w:rPr>
        <w:t>/</w:t>
      </w:r>
      <w:r>
        <w:rPr>
          <w:rStyle w:val="21"/>
          <w:rFonts w:hint="eastAsia"/>
          <w:b/>
          <w:caps/>
          <w:sz w:val="24"/>
          <w:szCs w:val="24"/>
        </w:rPr>
        <w:t>指导服务满意度均在</w:t>
      </w:r>
      <w:r>
        <w:rPr>
          <w:rStyle w:val="21"/>
          <w:rFonts w:hint="eastAsia" w:ascii="Times New Roman" w:hAnsi="Times New Roman" w:cs="Times New Roman"/>
          <w:b/>
          <w:caps/>
          <w:sz w:val="24"/>
          <w:szCs w:val="24"/>
          <w:lang w:val="en-US"/>
        </w:rPr>
        <w:t>65</w:t>
      </w:r>
      <w:r>
        <w:rPr>
          <w:rStyle w:val="21"/>
          <w:rFonts w:ascii="Times New Roman" w:hAnsi="Times New Roman" w:cs="Times New Roman"/>
          <w:b/>
          <w:caps/>
          <w:sz w:val="24"/>
          <w:szCs w:val="24"/>
        </w:rPr>
        <w:t>%</w:t>
      </w:r>
      <w:r>
        <w:rPr>
          <w:rStyle w:val="21"/>
          <w:b/>
          <w:caps/>
          <w:sz w:val="24"/>
          <w:szCs w:val="24"/>
        </w:rPr>
        <w:t>左右，其中满意度较高的三方面是</w:t>
      </w:r>
      <w:r>
        <w:rPr>
          <w:rStyle w:val="21"/>
          <w:rFonts w:hint="eastAsia"/>
          <w:b/>
          <w:caps/>
          <w:sz w:val="24"/>
          <w:szCs w:val="24"/>
        </w:rPr>
        <w:t>创业</w:t>
      </w:r>
      <w:r>
        <w:rPr>
          <w:rStyle w:val="21"/>
          <w:b/>
          <w:caps/>
          <w:sz w:val="24"/>
          <w:szCs w:val="24"/>
        </w:rPr>
        <w:t>相关</w:t>
      </w:r>
      <w:r>
        <w:rPr>
          <w:rStyle w:val="21"/>
          <w:rFonts w:hint="eastAsia"/>
          <w:b/>
          <w:caps/>
          <w:sz w:val="24"/>
          <w:szCs w:val="24"/>
        </w:rPr>
        <w:t>课程（其中</w:t>
      </w:r>
      <w:r>
        <w:rPr>
          <w:rStyle w:val="21"/>
          <w:b/>
          <w:caps/>
          <w:sz w:val="24"/>
          <w:szCs w:val="24"/>
        </w:rPr>
        <w:t>包括</w:t>
      </w:r>
      <w:r>
        <w:rPr>
          <w:rStyle w:val="21"/>
          <w:rFonts w:hint="eastAsia"/>
          <w:b/>
          <w:caps/>
          <w:sz w:val="24"/>
          <w:szCs w:val="24"/>
        </w:rPr>
        <w:t>讲座</w:t>
      </w:r>
      <w:r>
        <w:rPr>
          <w:rStyle w:val="21"/>
          <w:b/>
          <w:caps/>
          <w:sz w:val="24"/>
          <w:szCs w:val="24"/>
        </w:rPr>
        <w:t>）</w:t>
      </w:r>
      <w:r>
        <w:rPr>
          <w:rStyle w:val="21"/>
          <w:rFonts w:hint="eastAsia"/>
          <w:b/>
          <w:caps/>
          <w:sz w:val="24"/>
          <w:szCs w:val="24"/>
        </w:rPr>
        <w:t>（</w:t>
      </w:r>
      <w:r>
        <w:rPr>
          <w:rStyle w:val="21"/>
          <w:rFonts w:hint="default" w:ascii="Times New Roman" w:hAnsi="Times New Roman" w:cs="Times New Roman"/>
          <w:b/>
          <w:caps/>
          <w:sz w:val="24"/>
          <w:szCs w:val="24"/>
        </w:rPr>
        <w:t>90.</w:t>
      </w:r>
      <w:r>
        <w:rPr>
          <w:rStyle w:val="21"/>
          <w:rFonts w:hint="default" w:ascii="Times New Roman" w:hAnsi="Times New Roman" w:cs="Times New Roman"/>
          <w:b/>
          <w:caps/>
          <w:sz w:val="24"/>
          <w:szCs w:val="24"/>
          <w:lang w:val="en-US"/>
        </w:rPr>
        <w:t>00</w:t>
      </w:r>
      <w:r>
        <w:rPr>
          <w:rStyle w:val="21"/>
          <w:rFonts w:hint="default" w:ascii="Times New Roman" w:hAnsi="Times New Roman" w:cs="Times New Roman"/>
          <w:b/>
          <w:caps/>
          <w:sz w:val="24"/>
          <w:szCs w:val="24"/>
        </w:rPr>
        <w:t>%</w:t>
      </w:r>
      <w:r>
        <w:rPr>
          <w:rStyle w:val="21"/>
          <w:b/>
          <w:caps/>
          <w:sz w:val="24"/>
          <w:szCs w:val="24"/>
        </w:rPr>
        <w:t>）、</w:t>
      </w:r>
      <w:r>
        <w:rPr>
          <w:rStyle w:val="21"/>
          <w:rFonts w:hint="eastAsia"/>
          <w:b/>
          <w:caps/>
          <w:sz w:val="24"/>
          <w:szCs w:val="24"/>
        </w:rPr>
        <w:t>创新创业大赛（</w:t>
      </w:r>
      <w:r>
        <w:rPr>
          <w:rStyle w:val="21"/>
          <w:rFonts w:hint="default" w:ascii="Times New Roman" w:hAnsi="Times New Roman" w:cs="Times New Roman"/>
          <w:b/>
          <w:caps/>
          <w:sz w:val="24"/>
          <w:szCs w:val="24"/>
          <w:lang w:val="en-US"/>
        </w:rPr>
        <w:t>80.00</w:t>
      </w:r>
      <w:r>
        <w:rPr>
          <w:rStyle w:val="21"/>
          <w:rFonts w:hint="default" w:ascii="Times New Roman" w:hAnsi="Times New Roman" w:cs="Times New Roman"/>
          <w:b/>
          <w:caps/>
          <w:sz w:val="24"/>
          <w:szCs w:val="24"/>
        </w:rPr>
        <w:t>%</w:t>
      </w:r>
      <w:r>
        <w:rPr>
          <w:rStyle w:val="21"/>
          <w:b/>
          <w:caps/>
          <w:sz w:val="24"/>
          <w:szCs w:val="24"/>
        </w:rPr>
        <w:t>）</w:t>
      </w:r>
    </w:p>
    <w:p>
      <w:pPr>
        <w:ind w:firstLine="0" w:firstLineChars="0"/>
      </w:pPr>
      <w:r>
        <w:drawing>
          <wp:inline distT="0" distB="0" distL="0" distR="0">
            <wp:extent cx="5356860" cy="2880360"/>
            <wp:effectExtent l="0" t="0" r="15240" b="1524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19"/>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p>
    <w:p>
      <w:pPr>
        <w:pStyle w:val="18"/>
        <w:spacing w:before="312" w:after="156"/>
        <w:ind w:firstLine="482"/>
        <w:rPr>
          <w:rFonts w:hint="eastAsia"/>
          <w:sz w:val="24"/>
          <w:szCs w:val="24"/>
        </w:rPr>
      </w:pPr>
      <w:r>
        <w:rPr>
          <w:rFonts w:hint="eastAsia"/>
          <w:sz w:val="24"/>
          <w:szCs w:val="24"/>
        </w:rPr>
        <w:t>学校毕业生认为对</w:t>
      </w:r>
      <w:r>
        <w:rPr>
          <w:sz w:val="24"/>
          <w:szCs w:val="24"/>
        </w:rPr>
        <w:t>创业</w:t>
      </w:r>
      <w:r>
        <w:rPr>
          <w:rFonts w:hint="eastAsia"/>
          <w:sz w:val="24"/>
          <w:szCs w:val="24"/>
        </w:rPr>
        <w:t>最</w:t>
      </w:r>
      <w:r>
        <w:rPr>
          <w:sz w:val="24"/>
          <w:szCs w:val="24"/>
        </w:rPr>
        <w:t>有促进作用</w:t>
      </w:r>
      <w:r>
        <w:rPr>
          <w:rFonts w:hint="eastAsia"/>
          <w:sz w:val="24"/>
          <w:szCs w:val="24"/>
        </w:rPr>
        <w:t>的</w:t>
      </w:r>
      <w:r>
        <w:rPr>
          <w:sz w:val="24"/>
          <w:szCs w:val="24"/>
        </w:rPr>
        <w:t>活动是</w:t>
      </w:r>
      <w:r>
        <w:rPr>
          <w:rFonts w:hint="eastAsia"/>
          <w:sz w:val="24"/>
          <w:szCs w:val="24"/>
          <w:lang w:eastAsia="zh-CN"/>
        </w:rPr>
        <w:t>学生社团活动</w:t>
      </w:r>
      <w:r>
        <w:rPr>
          <w:sz w:val="24"/>
          <w:szCs w:val="24"/>
        </w:rPr>
        <w:t>（</w:t>
      </w:r>
      <w:r>
        <w:rPr>
          <w:rFonts w:hint="eastAsia"/>
          <w:sz w:val="24"/>
          <w:szCs w:val="24"/>
          <w:lang w:val="en-US" w:eastAsia="zh-CN"/>
        </w:rPr>
        <w:t>60.00</w:t>
      </w:r>
      <w:r>
        <w:rPr>
          <w:sz w:val="24"/>
          <w:szCs w:val="24"/>
        </w:rPr>
        <w:t>%）</w:t>
      </w:r>
      <w:r>
        <w:rPr>
          <w:rFonts w:hint="eastAsia"/>
          <w:sz w:val="24"/>
          <w:szCs w:val="24"/>
        </w:rPr>
        <w:t>，</w:t>
      </w:r>
      <w:r>
        <w:rPr>
          <w:sz w:val="24"/>
          <w:szCs w:val="24"/>
        </w:rPr>
        <w:t>其次为</w:t>
      </w:r>
      <w:r>
        <w:rPr>
          <w:rFonts w:hint="eastAsia"/>
          <w:sz w:val="24"/>
          <w:szCs w:val="24"/>
        </w:rPr>
        <w:t>顶</w:t>
      </w:r>
      <w:r>
        <w:rPr>
          <w:sz w:val="24"/>
          <w:szCs w:val="24"/>
        </w:rPr>
        <w:t>岗实习</w:t>
      </w:r>
      <w:r>
        <w:rPr>
          <w:rFonts w:hint="eastAsia"/>
          <w:sz w:val="24"/>
          <w:szCs w:val="24"/>
        </w:rPr>
        <w:t>/假期实习/课外兼职</w:t>
      </w:r>
      <w:r>
        <w:rPr>
          <w:rFonts w:hint="eastAsia"/>
          <w:sz w:val="24"/>
          <w:szCs w:val="24"/>
          <w:lang w:eastAsia="zh-CN"/>
        </w:rPr>
        <w:t>以及社会实践活动</w:t>
      </w:r>
      <w:r>
        <w:rPr>
          <w:rFonts w:hint="eastAsia"/>
          <w:sz w:val="24"/>
          <w:szCs w:val="24"/>
        </w:rPr>
        <w:t>（</w:t>
      </w:r>
      <w:r>
        <w:rPr>
          <w:rFonts w:hint="eastAsia"/>
          <w:sz w:val="24"/>
          <w:szCs w:val="24"/>
          <w:lang w:val="en-US" w:eastAsia="zh-CN"/>
        </w:rPr>
        <w:t>40.00</w:t>
      </w:r>
      <w:r>
        <w:rPr>
          <w:rFonts w:hint="eastAsia"/>
          <w:sz w:val="24"/>
          <w:szCs w:val="24"/>
        </w:rPr>
        <w:t>%）</w:t>
      </w:r>
    </w:p>
    <w:p>
      <w:pPr>
        <w:jc w:val="center"/>
        <w:rPr>
          <w:rFonts w:hint="eastAsia" w:eastAsiaTheme="minorEastAsia"/>
          <w:lang w:eastAsia="zh-CN"/>
        </w:rPr>
      </w:pPr>
      <w:r>
        <w:rPr>
          <w:rFonts w:hint="eastAsia" w:eastAsiaTheme="minorEastAsia"/>
          <w:lang w:eastAsia="zh-CN"/>
        </w:rPr>
        <w:drawing>
          <wp:inline distT="0" distB="0" distL="114300" distR="114300">
            <wp:extent cx="4509135" cy="3286125"/>
            <wp:effectExtent l="4445" t="4445" r="20320" b="5080"/>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ind w:firstLine="0" w:firstLineChars="0"/>
        <w:rPr>
          <w:highlight w:val="yellow"/>
        </w:rPr>
      </w:pPr>
    </w:p>
    <w:p>
      <w:pPr>
        <w:pStyle w:val="19"/>
      </w:pPr>
      <w:r>
        <w:rPr>
          <w:rFonts w:hint="eastAsia"/>
        </w:rPr>
        <w:t>注：该题目为多选题，因此选项的百分比之和不是100</w:t>
      </w:r>
      <w:r>
        <w:t>%</w:t>
      </w:r>
      <w:r>
        <w:rPr>
          <w:rFonts w:hint="eastAsia"/>
        </w:rPr>
        <w:t>。</w:t>
      </w:r>
    </w:p>
    <w:p>
      <w:pPr>
        <w:pStyle w:val="19"/>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p>
    <w:p>
      <w:pPr>
        <w:ind w:firstLine="480"/>
        <w:jc w:val="right"/>
      </w:pPr>
    </w:p>
    <w:p>
      <w:pPr>
        <w:ind w:firstLine="480"/>
      </w:pPr>
      <w:r>
        <w:br w:type="page"/>
      </w:r>
    </w:p>
    <w:p>
      <w:pPr>
        <w:pStyle w:val="2"/>
        <w:spacing w:after="468"/>
        <w:ind w:firstLine="723"/>
      </w:pPr>
      <w:bookmarkStart w:id="47" w:name="_Toc439953119"/>
      <w:r>
        <w:rPr>
          <w:rFonts w:hint="eastAsia"/>
        </w:rPr>
        <w:t>第三</w:t>
      </w:r>
      <w:r>
        <w:t>篇：</w:t>
      </w:r>
      <w:r>
        <w:rPr>
          <w:rFonts w:hint="eastAsia"/>
        </w:rPr>
        <w:t>就业相关分析</w:t>
      </w:r>
      <w:bookmarkEnd w:id="47"/>
    </w:p>
    <w:p>
      <w:pPr>
        <w:pStyle w:val="3"/>
      </w:pPr>
      <w:bookmarkStart w:id="48" w:name="_Toc439953120"/>
      <w:r>
        <w:rPr>
          <w:rFonts w:hint="eastAsia"/>
        </w:rPr>
        <w:t>一</w:t>
      </w:r>
      <w:r>
        <w:t>、</w:t>
      </w:r>
      <w:r>
        <w:rPr>
          <w:rFonts w:hint="eastAsia"/>
        </w:rPr>
        <w:t>薪酬</w:t>
      </w:r>
      <w:r>
        <w:t>水平</w:t>
      </w:r>
      <w:bookmarkEnd w:id="48"/>
    </w:p>
    <w:p>
      <w:pPr>
        <w:pStyle w:val="4"/>
        <w:spacing w:before="156" w:after="156"/>
        <w:ind w:left="240"/>
      </w:pPr>
      <w:bookmarkStart w:id="49" w:name="_Toc439953121"/>
      <w:r>
        <w:rPr>
          <w:rFonts w:hint="eastAsia"/>
        </w:rPr>
        <w:t>（一</w:t>
      </w:r>
      <w:r>
        <w:t>）</w:t>
      </w:r>
      <w:r>
        <w:rPr>
          <w:rFonts w:hint="eastAsia"/>
        </w:rPr>
        <w:t>薪酬</w:t>
      </w:r>
      <w:r>
        <w:t>区间分布</w:t>
      </w:r>
      <w:bookmarkEnd w:id="49"/>
    </w:p>
    <w:p>
      <w:pPr>
        <w:pStyle w:val="18"/>
        <w:spacing w:before="312" w:after="156"/>
        <w:ind w:firstLine="482"/>
        <w:rPr>
          <w:sz w:val="24"/>
          <w:szCs w:val="24"/>
        </w:rPr>
      </w:pPr>
      <w:r>
        <w:rPr>
          <w:rFonts w:hint="eastAsia"/>
          <w:sz w:val="24"/>
          <w:szCs w:val="24"/>
        </w:rPr>
        <w:t>学校</w:t>
      </w:r>
      <w:r>
        <w:rPr>
          <w:rFonts w:ascii="Times New Roman" w:hAnsi="Times New Roman" w:cs="Times New Roman"/>
          <w:sz w:val="24"/>
          <w:szCs w:val="24"/>
        </w:rPr>
        <w:t>201</w:t>
      </w:r>
      <w:r>
        <w:rPr>
          <w:rFonts w:hint="eastAsia" w:ascii="Times New Roman" w:hAnsi="Times New Roman" w:cs="Times New Roman"/>
          <w:sz w:val="24"/>
          <w:szCs w:val="24"/>
          <w:lang w:val="en-US" w:eastAsia="zh-CN"/>
        </w:rPr>
        <w:t>6</w:t>
      </w:r>
      <w:r>
        <w:rPr>
          <w:rFonts w:ascii="Times New Roman" w:hAnsi="Times New Roman" w:cs="Times New Roman"/>
          <w:sz w:val="24"/>
          <w:szCs w:val="24"/>
        </w:rPr>
        <w:t>届毕业生转正后的税</w:t>
      </w:r>
      <w:r>
        <w:rPr>
          <w:rFonts w:hint="eastAsia" w:ascii="Times New Roman" w:hAnsi="Times New Roman" w:cs="Times New Roman"/>
          <w:sz w:val="24"/>
          <w:szCs w:val="24"/>
          <w:lang w:eastAsia="zh-CN"/>
        </w:rPr>
        <w:t>后</w:t>
      </w:r>
      <w:r>
        <w:rPr>
          <w:rFonts w:ascii="Times New Roman" w:hAnsi="Times New Roman" w:cs="Times New Roman"/>
          <w:sz w:val="24"/>
          <w:szCs w:val="24"/>
          <w:highlight w:val="none"/>
        </w:rPr>
        <w:t>月均收入为</w:t>
      </w:r>
      <w:r>
        <w:rPr>
          <w:rFonts w:hint="eastAsia" w:ascii="Times New Roman" w:hAnsi="Times New Roman" w:cs="Times New Roman"/>
          <w:sz w:val="24"/>
          <w:szCs w:val="24"/>
          <w:highlight w:val="none"/>
          <w:lang w:val="en-US" w:eastAsia="zh-CN"/>
        </w:rPr>
        <w:t>3239.58</w:t>
      </w:r>
      <w:r>
        <w:rPr>
          <w:rFonts w:hint="eastAsia"/>
          <w:sz w:val="24"/>
          <w:szCs w:val="24"/>
          <w:highlight w:val="none"/>
        </w:rPr>
        <w:t>元；</w:t>
      </w:r>
      <w:r>
        <w:rPr>
          <w:rFonts w:hint="eastAsia"/>
          <w:sz w:val="24"/>
          <w:szCs w:val="24"/>
        </w:rPr>
        <w:t>月薪</w:t>
      </w:r>
      <w:r>
        <w:rPr>
          <w:sz w:val="24"/>
          <w:szCs w:val="24"/>
        </w:rPr>
        <w:t>在</w:t>
      </w:r>
      <w:r>
        <w:rPr>
          <w:sz w:val="24"/>
          <w:szCs w:val="24"/>
        </w:rPr>
        <w:fldChar w:fldCharType="begin"/>
      </w:r>
      <w:r>
        <w:rPr>
          <w:sz w:val="24"/>
          <w:szCs w:val="24"/>
        </w:rPr>
        <w:instrText xml:space="preserve"> </w:instrText>
      </w:r>
      <w:r>
        <w:rPr>
          <w:rFonts w:hint="eastAsia"/>
          <w:sz w:val="24"/>
          <w:szCs w:val="24"/>
        </w:rPr>
        <w:instrText xml:space="preserve">LINK </w:instrText>
      </w:r>
      <w:r>
        <w:rPr>
          <w:sz w:val="24"/>
          <w:szCs w:val="24"/>
        </w:rPr>
        <w:instrText xml:space="preserve">Excel.Sheet.8</w:instrText>
      </w:r>
      <w:r>
        <w:rPr>
          <w:rFonts w:hint="eastAsia"/>
          <w:sz w:val="24"/>
          <w:szCs w:val="24"/>
        </w:rPr>
        <w:instrText xml:space="preserve"> D:\\duiwai\\对外单学历图.xls 文字性内容!R23C3 \a \t</w:instrText>
      </w:r>
      <w:r>
        <w:rPr>
          <w:sz w:val="24"/>
          <w:szCs w:val="24"/>
        </w:rPr>
        <w:instrText xml:space="preserve">  \* MERGEFORMAT </w:instrText>
      </w:r>
      <w:r>
        <w:rPr>
          <w:sz w:val="24"/>
          <w:szCs w:val="24"/>
        </w:rPr>
        <w:fldChar w:fldCharType="separate"/>
      </w:r>
      <w:r>
        <w:rPr>
          <w:rFonts w:ascii="Times New Roman" w:hAnsi="Times New Roman" w:cs="Times New Roman"/>
          <w:sz w:val="24"/>
          <w:szCs w:val="24"/>
        </w:rPr>
        <w:t>2001-3000</w:t>
      </w:r>
      <w:r>
        <w:rPr>
          <w:rFonts w:hint="eastAsia"/>
          <w:sz w:val="24"/>
          <w:szCs w:val="24"/>
        </w:rPr>
        <w:t>元</w:t>
      </w:r>
      <w:r>
        <w:rPr>
          <w:sz w:val="24"/>
          <w:szCs w:val="24"/>
        </w:rPr>
        <w:fldChar w:fldCharType="end"/>
      </w:r>
      <w:r>
        <w:rPr>
          <w:sz w:val="24"/>
          <w:szCs w:val="24"/>
        </w:rPr>
        <w:t>区间</w:t>
      </w:r>
      <w:r>
        <w:rPr>
          <w:rFonts w:hint="eastAsia"/>
          <w:sz w:val="24"/>
          <w:szCs w:val="24"/>
        </w:rPr>
        <w:t>的毕业生最为集中，</w:t>
      </w:r>
      <w:r>
        <w:rPr>
          <w:rFonts w:ascii="Times New Roman" w:hAnsi="Times New Roman" w:cs="Times New Roman"/>
          <w:sz w:val="24"/>
          <w:szCs w:val="24"/>
        </w:rPr>
        <w:t>达到</w:t>
      </w:r>
      <w:r>
        <w:rPr>
          <w:rFonts w:hint="eastAsia" w:ascii="Times New Roman" w:hAnsi="Times New Roman" w:cs="Times New Roman"/>
          <w:sz w:val="24"/>
          <w:szCs w:val="24"/>
          <w:lang w:val="en-US" w:eastAsia="zh-CN"/>
        </w:rPr>
        <w:t>41.58</w:t>
      </w:r>
      <w:r>
        <w:rPr>
          <w:rFonts w:ascii="Times New Roman" w:hAnsi="Times New Roman" w:cs="Times New Roman"/>
          <w:sz w:val="24"/>
          <w:szCs w:val="24"/>
        </w:rPr>
        <w:t>%</w:t>
      </w:r>
    </w:p>
    <w:p>
      <w:pPr>
        <w:ind w:firstLine="0" w:firstLineChars="0"/>
        <w:jc w:val="center"/>
      </w:pPr>
      <w:r>
        <w:drawing>
          <wp:inline distT="0" distB="0" distL="0" distR="0">
            <wp:extent cx="5341620" cy="2872740"/>
            <wp:effectExtent l="0" t="0" r="11430" b="381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19"/>
      </w:pPr>
      <w:r>
        <w:rPr>
          <w:rFonts w:hint="eastAsia"/>
        </w:rPr>
        <w:t>注</w:t>
      </w:r>
      <w:r>
        <w:t>：</w:t>
      </w:r>
      <w:r>
        <w:rPr>
          <w:rFonts w:hint="eastAsia"/>
        </w:rPr>
        <w:t>薪酬包括能折算为现金的工资、福利等。</w:t>
      </w:r>
    </w:p>
    <w:p>
      <w:pPr>
        <w:pStyle w:val="19"/>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p>
    <w:p>
      <w:pPr>
        <w:ind w:firstLine="480"/>
      </w:pPr>
    </w:p>
    <w:p>
      <w:pPr>
        <w:pStyle w:val="4"/>
        <w:spacing w:before="156" w:after="156"/>
        <w:ind w:left="240"/>
        <w:rPr>
          <w:highlight w:val="none"/>
        </w:rPr>
      </w:pPr>
      <w:bookmarkStart w:id="50" w:name="_Toc439953122"/>
      <w:r>
        <w:rPr>
          <w:rFonts w:hint="eastAsia"/>
          <w:highlight w:val="none"/>
        </w:rPr>
        <w:t>（二</w:t>
      </w:r>
      <w:r>
        <w:rPr>
          <w:highlight w:val="none"/>
        </w:rPr>
        <w:t>）</w:t>
      </w:r>
      <w:r>
        <w:rPr>
          <w:rFonts w:hint="eastAsia"/>
          <w:highlight w:val="none"/>
        </w:rPr>
        <w:t>主要</w:t>
      </w:r>
      <w:r>
        <w:rPr>
          <w:highlight w:val="none"/>
        </w:rPr>
        <w:t>行业月薪</w:t>
      </w:r>
      <w:bookmarkEnd w:id="50"/>
    </w:p>
    <w:p>
      <w:pPr>
        <w:pStyle w:val="18"/>
        <w:spacing w:before="312" w:after="156"/>
        <w:ind w:firstLine="482"/>
        <w:jc w:val="both"/>
        <w:rPr>
          <w:sz w:val="24"/>
          <w:szCs w:val="24"/>
        </w:rPr>
      </w:pPr>
      <w:r>
        <w:rPr>
          <w:rFonts w:hint="eastAsia"/>
          <w:sz w:val="24"/>
          <w:szCs w:val="24"/>
        </w:rPr>
        <w:t>学校毕业生就业</w:t>
      </w:r>
      <w:r>
        <w:rPr>
          <w:sz w:val="24"/>
          <w:szCs w:val="24"/>
        </w:rPr>
        <w:t>行业月薪最高的是</w:t>
      </w:r>
      <w:r>
        <w:rPr>
          <w:rFonts w:hint="eastAsia"/>
          <w:sz w:val="24"/>
          <w:szCs w:val="24"/>
        </w:rPr>
        <w:t>金融业</w:t>
      </w:r>
      <w:r>
        <w:rPr>
          <w:sz w:val="24"/>
          <w:szCs w:val="24"/>
        </w:rPr>
        <w:t>（</w:t>
      </w:r>
      <w:r>
        <w:rPr>
          <w:rFonts w:hint="eastAsia"/>
          <w:sz w:val="24"/>
          <w:szCs w:val="24"/>
        </w:rPr>
        <w:t>4028.13元</w:t>
      </w:r>
      <w:r>
        <w:rPr>
          <w:sz w:val="24"/>
          <w:szCs w:val="24"/>
        </w:rPr>
        <w:t>）</w:t>
      </w:r>
      <w:r>
        <w:rPr>
          <w:rFonts w:hint="eastAsia"/>
          <w:sz w:val="24"/>
          <w:szCs w:val="24"/>
        </w:rPr>
        <w:t>，</w:t>
      </w:r>
      <w:r>
        <w:rPr>
          <w:sz w:val="24"/>
          <w:szCs w:val="24"/>
        </w:rPr>
        <w:t>其次是建筑业（</w:t>
      </w:r>
      <w:r>
        <w:rPr>
          <w:rFonts w:hint="eastAsia"/>
          <w:sz w:val="24"/>
          <w:szCs w:val="24"/>
        </w:rPr>
        <w:t>3482.65元</w:t>
      </w:r>
      <w:r>
        <w:rPr>
          <w:sz w:val="24"/>
          <w:szCs w:val="24"/>
        </w:rPr>
        <w:t>）</w:t>
      </w:r>
      <w:r>
        <w:rPr>
          <w:rFonts w:hint="eastAsia"/>
          <w:sz w:val="24"/>
          <w:szCs w:val="24"/>
        </w:rPr>
        <w:t>，</w:t>
      </w:r>
      <w:r>
        <w:rPr>
          <w:sz w:val="24"/>
          <w:szCs w:val="24"/>
        </w:rPr>
        <w:t>第三是</w:t>
      </w:r>
      <w:r>
        <w:rPr>
          <w:rFonts w:hint="eastAsia"/>
          <w:sz w:val="24"/>
          <w:szCs w:val="24"/>
        </w:rPr>
        <w:t>房地产业</w:t>
      </w:r>
      <w:r>
        <w:rPr>
          <w:sz w:val="24"/>
          <w:szCs w:val="24"/>
        </w:rPr>
        <w:t>（</w:t>
      </w:r>
      <w:r>
        <w:rPr>
          <w:rFonts w:hint="eastAsia"/>
          <w:sz w:val="24"/>
          <w:szCs w:val="24"/>
        </w:rPr>
        <w:t>3373.33元</w:t>
      </w:r>
      <w:r>
        <w:rPr>
          <w:sz w:val="24"/>
          <w:szCs w:val="24"/>
        </w:rPr>
        <w:t>）</w:t>
      </w:r>
    </w:p>
    <w:p>
      <w:pPr>
        <w:ind w:firstLine="0" w:firstLineChars="0"/>
      </w:pPr>
      <w:r>
        <w:drawing>
          <wp:inline distT="0" distB="0" distL="0" distR="0">
            <wp:extent cx="5257800" cy="274320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19"/>
      </w:pPr>
      <w:r>
        <w:rPr>
          <w:rFonts w:hint="eastAsia"/>
        </w:rPr>
        <w:t>注：</w:t>
      </w:r>
      <w:r>
        <w:t>主要就业行业</w:t>
      </w:r>
      <w:r>
        <w:rPr>
          <w:rFonts w:hint="eastAsia"/>
        </w:rPr>
        <w:t>指</w:t>
      </w:r>
      <w:r>
        <w:t>答题人数</w:t>
      </w:r>
      <w:r>
        <w:rPr>
          <w:rFonts w:hint="eastAsia" w:asciiTheme="minorEastAsia" w:hAnsiTheme="minorEastAsia"/>
        </w:rPr>
        <w:t>≥</w:t>
      </w:r>
      <w:r>
        <w:rPr>
          <w:rFonts w:hint="eastAsia"/>
        </w:rPr>
        <w:t>15的</w:t>
      </w:r>
      <w:r>
        <w:t>就业行业。</w:t>
      </w:r>
    </w:p>
    <w:p>
      <w:pPr>
        <w:pStyle w:val="19"/>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p>
    <w:p>
      <w:pPr>
        <w:pStyle w:val="19"/>
      </w:pPr>
    </w:p>
    <w:p>
      <w:pPr>
        <w:pStyle w:val="3"/>
      </w:pPr>
      <w:bookmarkStart w:id="51" w:name="_Toc439953123"/>
      <w:r>
        <w:rPr>
          <w:rFonts w:hint="eastAsia"/>
        </w:rPr>
        <w:t>二</w:t>
      </w:r>
      <w:r>
        <w:t>、</w:t>
      </w:r>
      <w:r>
        <w:rPr>
          <w:rFonts w:hint="eastAsia"/>
        </w:rPr>
        <w:t>专业</w:t>
      </w:r>
      <w:r>
        <w:t>对口度</w:t>
      </w:r>
      <w:bookmarkEnd w:id="51"/>
    </w:p>
    <w:p>
      <w:pPr>
        <w:pStyle w:val="18"/>
        <w:spacing w:before="312" w:after="156"/>
        <w:ind w:firstLine="482"/>
        <w:rPr>
          <w:sz w:val="24"/>
          <w:szCs w:val="24"/>
        </w:rPr>
      </w:pPr>
      <w:r>
        <w:rPr>
          <w:rFonts w:hint="eastAsia"/>
          <w:sz w:val="24"/>
          <w:szCs w:val="24"/>
        </w:rPr>
        <w:t>学校</w:t>
      </w:r>
      <w:r>
        <w:rPr>
          <w:rFonts w:hint="eastAsia" w:ascii="Times New Roman" w:hAnsi="Times New Roman" w:cs="Times New Roman"/>
          <w:sz w:val="24"/>
          <w:szCs w:val="24"/>
        </w:rPr>
        <w:t>201</w:t>
      </w:r>
      <w:r>
        <w:rPr>
          <w:rFonts w:hint="eastAsia" w:ascii="Times New Roman" w:hAnsi="Times New Roman" w:cs="Times New Roman"/>
          <w:sz w:val="24"/>
          <w:szCs w:val="24"/>
          <w:lang w:val="en-US" w:eastAsia="zh-CN"/>
        </w:rPr>
        <w:t>6</w:t>
      </w:r>
      <w:r>
        <w:rPr>
          <w:rFonts w:hint="eastAsia"/>
          <w:sz w:val="24"/>
          <w:szCs w:val="24"/>
        </w:rPr>
        <w:t>届</w:t>
      </w:r>
      <w:r>
        <w:rPr>
          <w:sz w:val="24"/>
          <w:szCs w:val="24"/>
        </w:rPr>
        <w:t>毕业生</w:t>
      </w:r>
      <w:r>
        <w:rPr>
          <w:rFonts w:hint="eastAsia"/>
          <w:sz w:val="24"/>
          <w:szCs w:val="24"/>
        </w:rPr>
        <w:t>专业</w:t>
      </w:r>
      <w:r>
        <w:rPr>
          <w:sz w:val="24"/>
          <w:szCs w:val="24"/>
        </w:rPr>
        <w:t>对口度为</w:t>
      </w:r>
      <w:r>
        <w:rPr>
          <w:rFonts w:hint="default" w:ascii="Times New Roman" w:hAnsi="Times New Roman" w:cs="Times New Roman"/>
          <w:sz w:val="24"/>
          <w:szCs w:val="24"/>
          <w:lang w:val="en-US" w:eastAsia="zh-CN"/>
        </w:rPr>
        <w:t>69.12</w:t>
      </w:r>
      <w:r>
        <w:rPr>
          <w:rFonts w:hint="default" w:ascii="Times New Roman" w:hAnsi="Times New Roman" w:cs="Times New Roman"/>
          <w:sz w:val="24"/>
          <w:szCs w:val="24"/>
        </w:rPr>
        <w:t>%</w:t>
      </w:r>
      <w:r>
        <w:rPr>
          <w:rFonts w:hint="eastAsia"/>
          <w:sz w:val="24"/>
          <w:szCs w:val="24"/>
        </w:rPr>
        <w:t>，其中很对口占</w:t>
      </w:r>
      <w:r>
        <w:rPr>
          <w:rFonts w:hint="default" w:ascii="Times New Roman" w:hAnsi="Times New Roman" w:cs="Times New Roman"/>
          <w:sz w:val="24"/>
          <w:szCs w:val="24"/>
          <w:lang w:val="en-US" w:eastAsia="zh-CN"/>
        </w:rPr>
        <w:t>15.47</w:t>
      </w:r>
      <w:r>
        <w:rPr>
          <w:rFonts w:hint="eastAsia"/>
          <w:sz w:val="24"/>
          <w:szCs w:val="24"/>
        </w:rPr>
        <w:t>%，比较对口占</w:t>
      </w:r>
      <w:r>
        <w:rPr>
          <w:rFonts w:hint="default" w:ascii="Times New Roman" w:hAnsi="Times New Roman" w:cs="Times New Roman"/>
          <w:sz w:val="24"/>
          <w:szCs w:val="24"/>
          <w:lang w:val="en-US" w:eastAsia="zh-CN"/>
        </w:rPr>
        <w:t>29.33</w:t>
      </w:r>
      <w:r>
        <w:rPr>
          <w:rFonts w:hint="eastAsia"/>
          <w:sz w:val="24"/>
          <w:szCs w:val="24"/>
        </w:rPr>
        <w:t>%，一般占</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4.32</w:t>
      </w:r>
      <w:r>
        <w:rPr>
          <w:rFonts w:hint="eastAsia"/>
          <w:sz w:val="24"/>
          <w:szCs w:val="24"/>
        </w:rPr>
        <w:t>%。</w:t>
      </w:r>
      <w:r>
        <w:rPr>
          <w:sz w:val="24"/>
          <w:szCs w:val="24"/>
        </w:rPr>
        <w:t>大部分学生在从事与自己专业较为对口的工作</w:t>
      </w:r>
      <w:r>
        <w:rPr>
          <w:rFonts w:hint="eastAsia"/>
          <w:sz w:val="24"/>
          <w:szCs w:val="24"/>
          <w:lang w:eastAsia="zh-CN"/>
        </w:rPr>
        <w:t>。</w:t>
      </w:r>
    </w:p>
    <w:p>
      <w:pPr>
        <w:ind w:firstLine="0" w:firstLineChars="0"/>
      </w:pPr>
      <w:r>
        <w:drawing>
          <wp:inline distT="0" distB="0" distL="0" distR="0">
            <wp:extent cx="5327650" cy="2524125"/>
            <wp:effectExtent l="0" t="0" r="6350" b="952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hint="eastAsia"/>
        </w:rPr>
        <w:t xml:space="preserve"> </w:t>
      </w:r>
      <w:r>
        <w:t xml:space="preserve"> </w:t>
      </w:r>
    </w:p>
    <w:p>
      <w:pPr>
        <w:pStyle w:val="19"/>
      </w:pPr>
      <w:r>
        <w:rPr>
          <w:rFonts w:hint="eastAsia"/>
        </w:rPr>
        <w:t>注：对口度=很对口+比较对口+一般。</w:t>
      </w:r>
    </w:p>
    <w:p>
      <w:pPr>
        <w:pStyle w:val="19"/>
        <w:rPr>
          <w:szCs w:val="18"/>
        </w:rPr>
      </w:pPr>
      <w:r>
        <w:rPr>
          <w:szCs w:val="18"/>
        </w:rPr>
        <w:t>数据来源</w:t>
      </w:r>
      <w:r>
        <w:rPr>
          <w:rFonts w:hint="eastAsia"/>
          <w:szCs w:val="18"/>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rPr>
          <w:szCs w:val="18"/>
        </w:rPr>
        <w:t>。</w:t>
      </w:r>
    </w:p>
    <w:p>
      <w:pPr>
        <w:ind w:firstLine="480"/>
      </w:pPr>
    </w:p>
    <w:p>
      <w:pPr>
        <w:pStyle w:val="18"/>
        <w:spacing w:before="312" w:after="156"/>
        <w:ind w:firstLine="482"/>
        <w:rPr>
          <w:sz w:val="24"/>
          <w:szCs w:val="24"/>
        </w:rPr>
      </w:pPr>
      <w:r>
        <w:rPr>
          <w:rFonts w:hint="eastAsia" w:ascii="Times New Roman" w:hAnsi="Times New Roman" w:cs="Times New Roman"/>
          <w:sz w:val="24"/>
          <w:szCs w:val="24"/>
        </w:rPr>
        <w:t>对从事</w:t>
      </w:r>
      <w:r>
        <w:rPr>
          <w:rFonts w:ascii="Times New Roman" w:hAnsi="Times New Roman" w:cs="Times New Roman"/>
          <w:sz w:val="24"/>
          <w:szCs w:val="24"/>
        </w:rPr>
        <w:t>低对口度工作的毕业生进一步</w:t>
      </w:r>
      <w:r>
        <w:rPr>
          <w:rFonts w:hint="eastAsia" w:ascii="Times New Roman" w:hAnsi="Times New Roman" w:cs="Times New Roman"/>
          <w:sz w:val="24"/>
          <w:szCs w:val="24"/>
        </w:rPr>
        <w:t>调查</w:t>
      </w:r>
      <w:r>
        <w:rPr>
          <w:rFonts w:ascii="Times New Roman" w:hAnsi="Times New Roman" w:cs="Times New Roman"/>
          <w:sz w:val="24"/>
          <w:szCs w:val="24"/>
        </w:rPr>
        <w:t>，</w:t>
      </w:r>
      <w:r>
        <w:rPr>
          <w:sz w:val="24"/>
          <w:szCs w:val="24"/>
        </w:rPr>
        <w:t>毕业生</w:t>
      </w:r>
      <w:r>
        <w:rPr>
          <w:rFonts w:hint="eastAsia"/>
          <w:sz w:val="24"/>
          <w:szCs w:val="24"/>
        </w:rPr>
        <w:t>反馈</w:t>
      </w:r>
      <w:r>
        <w:rPr>
          <w:sz w:val="24"/>
          <w:szCs w:val="24"/>
        </w:rPr>
        <w:t>从事低对口度</w:t>
      </w:r>
      <w:r>
        <w:rPr>
          <w:rFonts w:hint="eastAsia"/>
          <w:sz w:val="24"/>
          <w:szCs w:val="24"/>
        </w:rPr>
        <w:t>工作</w:t>
      </w:r>
      <w:r>
        <w:rPr>
          <w:sz w:val="24"/>
          <w:szCs w:val="24"/>
        </w:rPr>
        <w:t>的主要原因</w:t>
      </w:r>
      <w:r>
        <w:rPr>
          <w:rFonts w:hint="eastAsia"/>
          <w:sz w:val="24"/>
          <w:szCs w:val="24"/>
        </w:rPr>
        <w:t>是对口</w:t>
      </w:r>
      <w:r>
        <w:rPr>
          <w:sz w:val="24"/>
          <w:szCs w:val="24"/>
        </w:rPr>
        <w:t>工作</w:t>
      </w:r>
      <w:r>
        <w:rPr>
          <w:rFonts w:hint="eastAsia"/>
          <w:sz w:val="24"/>
          <w:szCs w:val="24"/>
          <w:lang w:eastAsia="zh-CN"/>
        </w:rPr>
        <w:t>不符合兴趣</w:t>
      </w:r>
      <w:r>
        <w:rPr>
          <w:rFonts w:hint="eastAsia"/>
          <w:sz w:val="24"/>
          <w:szCs w:val="24"/>
        </w:rPr>
        <w:t>，</w:t>
      </w:r>
      <w:r>
        <w:rPr>
          <w:sz w:val="24"/>
          <w:szCs w:val="24"/>
        </w:rPr>
        <w:t>占比达</w:t>
      </w:r>
      <w:r>
        <w:rPr>
          <w:rFonts w:hint="eastAsia" w:ascii="Times New Roman" w:hAnsi="Times New Roman" w:cs="Times New Roman"/>
          <w:sz w:val="24"/>
          <w:szCs w:val="24"/>
          <w:lang w:val="en-US" w:eastAsia="zh-CN"/>
        </w:rPr>
        <w:t>39.55</w:t>
      </w:r>
      <w:r>
        <w:rPr>
          <w:rFonts w:hint="eastAsia" w:ascii="Times New Roman" w:hAnsi="Times New Roman" w:cs="Times New Roman"/>
          <w:sz w:val="24"/>
          <w:szCs w:val="24"/>
        </w:rPr>
        <w:t>%，</w:t>
      </w:r>
      <w:r>
        <w:rPr>
          <w:rFonts w:ascii="Times New Roman" w:hAnsi="Times New Roman" w:cs="Times New Roman"/>
          <w:sz w:val="24"/>
          <w:szCs w:val="24"/>
        </w:rPr>
        <w:t>其次是对口</w:t>
      </w:r>
      <w:r>
        <w:rPr>
          <w:rFonts w:hint="eastAsia" w:ascii="Times New Roman" w:hAnsi="Times New Roman" w:cs="Times New Roman"/>
          <w:sz w:val="24"/>
          <w:szCs w:val="24"/>
        </w:rPr>
        <w:t>工作</w:t>
      </w:r>
      <w:r>
        <w:rPr>
          <w:rFonts w:hint="eastAsia" w:ascii="Times New Roman" w:hAnsi="Times New Roman" w:cs="Times New Roman"/>
          <w:sz w:val="24"/>
          <w:szCs w:val="24"/>
          <w:lang w:eastAsia="zh-CN"/>
        </w:rPr>
        <w:t>就业机会少</w:t>
      </w:r>
      <w:r>
        <w:rPr>
          <w:rFonts w:hint="eastAsia" w:ascii="Times New Roman" w:hAnsi="Times New Roman" w:cs="Times New Roman"/>
          <w:sz w:val="24"/>
          <w:szCs w:val="24"/>
        </w:rPr>
        <w:t>，</w:t>
      </w:r>
      <w:r>
        <w:rPr>
          <w:rFonts w:ascii="Times New Roman" w:hAnsi="Times New Roman" w:cs="Times New Roman"/>
          <w:sz w:val="24"/>
          <w:szCs w:val="24"/>
        </w:rPr>
        <w:t>占比达</w:t>
      </w:r>
      <w:r>
        <w:rPr>
          <w:rFonts w:hint="eastAsia" w:ascii="Times New Roman" w:hAnsi="Times New Roman" w:cs="Times New Roman"/>
          <w:sz w:val="24"/>
          <w:szCs w:val="24"/>
          <w:lang w:val="en-US" w:eastAsia="zh-CN"/>
        </w:rPr>
        <w:t>16.95</w:t>
      </w:r>
      <w:r>
        <w:rPr>
          <w:rFonts w:ascii="Times New Roman" w:hAnsi="Times New Roman" w:cs="Times New Roman"/>
          <w:sz w:val="24"/>
          <w:szCs w:val="24"/>
        </w:rPr>
        <w:t>%</w:t>
      </w:r>
    </w:p>
    <w:p>
      <w:pPr>
        <w:ind w:firstLine="480"/>
      </w:pPr>
      <w:bookmarkStart w:id="75" w:name="_GoBack"/>
      <w:r>
        <w:drawing>
          <wp:inline distT="0" distB="0" distL="0" distR="0">
            <wp:extent cx="4752340" cy="2505075"/>
            <wp:effectExtent l="0" t="0" r="10160" b="952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75"/>
    </w:p>
    <w:p>
      <w:pPr>
        <w:pStyle w:val="19"/>
      </w:pPr>
      <w:r>
        <w:rPr>
          <w:rFonts w:hint="eastAsia"/>
        </w:rPr>
        <w:t>注：由于四舍五入的原因，因此数据占比之和可能会出现不等于100%的情况（误差为±0.01）。</w:t>
      </w:r>
    </w:p>
    <w:p>
      <w:pPr>
        <w:ind w:firstLine="0" w:firstLineChars="0"/>
        <w:rPr>
          <w:sz w:val="18"/>
          <w:szCs w:val="18"/>
        </w:rPr>
      </w:pPr>
      <w:r>
        <w:rPr>
          <w:sz w:val="18"/>
          <w:szCs w:val="18"/>
        </w:rPr>
        <w:t>数据来源</w:t>
      </w:r>
      <w:r>
        <w:rPr>
          <w:rFonts w:hint="eastAsia"/>
          <w:sz w:val="18"/>
          <w:szCs w:val="18"/>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rPr>
          <w:sz w:val="18"/>
          <w:szCs w:val="18"/>
        </w:rPr>
        <w:t>。</w:t>
      </w:r>
    </w:p>
    <w:p>
      <w:pPr>
        <w:pStyle w:val="3"/>
        <w:rPr>
          <w:color w:val="C55A11" w:themeColor="accent2" w:themeShade="BF"/>
        </w:rPr>
      </w:pPr>
      <w:bookmarkStart w:id="52" w:name="_Toc439953124"/>
      <w:r>
        <w:rPr>
          <w:rFonts w:hint="eastAsia"/>
        </w:rPr>
        <w:t>三</w:t>
      </w:r>
      <w:r>
        <w:t>、就业满意</w:t>
      </w:r>
      <w:r>
        <w:rPr>
          <w:rFonts w:hint="eastAsia"/>
        </w:rPr>
        <w:t>度</w:t>
      </w:r>
      <w:bookmarkEnd w:id="52"/>
    </w:p>
    <w:p>
      <w:pPr>
        <w:pStyle w:val="18"/>
        <w:spacing w:before="312" w:after="156"/>
        <w:ind w:firstLine="482"/>
        <w:rPr>
          <w:rStyle w:val="21"/>
          <w:rFonts w:hint="eastAsia" w:ascii="Times New Roman" w:hAnsi="Times New Roman" w:cs="Times New Roman"/>
          <w:b/>
          <w:caps/>
          <w:sz w:val="24"/>
          <w:szCs w:val="24"/>
        </w:rPr>
      </w:pPr>
      <w:r>
        <w:rPr>
          <w:rFonts w:hint="eastAsia"/>
          <w:sz w:val="24"/>
          <w:szCs w:val="24"/>
        </w:rPr>
        <w:t>学校2</w:t>
      </w:r>
      <w:r>
        <w:rPr>
          <w:rStyle w:val="21"/>
          <w:rFonts w:hint="eastAsia"/>
          <w:b/>
          <w:caps/>
          <w:sz w:val="24"/>
          <w:szCs w:val="24"/>
        </w:rPr>
        <w:t>01</w:t>
      </w:r>
      <w:r>
        <w:rPr>
          <w:rStyle w:val="21"/>
          <w:rFonts w:hint="eastAsia"/>
          <w:b/>
          <w:caps/>
          <w:sz w:val="24"/>
          <w:szCs w:val="24"/>
          <w:lang w:val="en-US"/>
        </w:rPr>
        <w:t>6</w:t>
      </w:r>
      <w:r>
        <w:rPr>
          <w:rStyle w:val="21"/>
          <w:rFonts w:hint="eastAsia"/>
          <w:b/>
          <w:caps/>
          <w:sz w:val="24"/>
          <w:szCs w:val="24"/>
        </w:rPr>
        <w:t>届</w:t>
      </w:r>
      <w:r>
        <w:rPr>
          <w:rStyle w:val="21"/>
          <w:b/>
          <w:caps/>
          <w:sz w:val="24"/>
          <w:szCs w:val="24"/>
        </w:rPr>
        <w:t>毕业生</w:t>
      </w:r>
      <w:r>
        <w:rPr>
          <w:rStyle w:val="21"/>
          <w:rFonts w:hint="eastAsia"/>
          <w:b/>
          <w:caps/>
          <w:sz w:val="24"/>
          <w:szCs w:val="24"/>
        </w:rPr>
        <w:t>的</w:t>
      </w:r>
      <w:r>
        <w:rPr>
          <w:rStyle w:val="21"/>
          <w:b/>
          <w:caps/>
          <w:sz w:val="24"/>
          <w:szCs w:val="24"/>
        </w:rPr>
        <w:t>就</w:t>
      </w:r>
      <w:r>
        <w:rPr>
          <w:rStyle w:val="21"/>
          <w:rFonts w:hint="eastAsia"/>
          <w:b/>
          <w:caps/>
          <w:sz w:val="24"/>
          <w:szCs w:val="24"/>
        </w:rPr>
        <w:t>业</w:t>
      </w:r>
      <w:r>
        <w:rPr>
          <w:rStyle w:val="21"/>
          <w:b/>
          <w:caps/>
          <w:sz w:val="24"/>
          <w:szCs w:val="24"/>
        </w:rPr>
        <w:t>满意度</w:t>
      </w:r>
      <w:r>
        <w:rPr>
          <w:rStyle w:val="21"/>
          <w:rFonts w:hint="eastAsia"/>
          <w:b/>
          <w:caps/>
          <w:sz w:val="24"/>
          <w:szCs w:val="24"/>
        </w:rPr>
        <w:t>达</w:t>
      </w:r>
      <w:r>
        <w:rPr>
          <w:rStyle w:val="21"/>
          <w:rFonts w:hint="eastAsia" w:ascii="Times New Roman" w:hAnsi="Times New Roman" w:cs="Times New Roman"/>
          <w:b/>
          <w:caps/>
          <w:sz w:val="24"/>
          <w:szCs w:val="24"/>
          <w:lang w:val="en-US"/>
        </w:rPr>
        <w:t>90.76</w:t>
      </w:r>
      <w:r>
        <w:rPr>
          <w:rStyle w:val="21"/>
          <w:rFonts w:ascii="Times New Roman" w:hAnsi="Times New Roman" w:cs="Times New Roman"/>
          <w:b/>
          <w:caps/>
          <w:sz w:val="24"/>
          <w:szCs w:val="24"/>
        </w:rPr>
        <w:t>%</w:t>
      </w:r>
      <w:r>
        <w:rPr>
          <w:rStyle w:val="21"/>
          <w:rFonts w:hint="eastAsia" w:ascii="Times New Roman" w:hAnsi="Times New Roman" w:cs="Times New Roman"/>
          <w:b/>
          <w:caps/>
          <w:sz w:val="24"/>
          <w:szCs w:val="24"/>
        </w:rPr>
        <w:t>，其中很满意占</w:t>
      </w:r>
      <w:r>
        <w:rPr>
          <w:rStyle w:val="21"/>
          <w:rFonts w:hint="eastAsia" w:ascii="Times New Roman" w:hAnsi="Times New Roman" w:cs="Times New Roman"/>
          <w:b/>
          <w:caps/>
          <w:sz w:val="24"/>
          <w:szCs w:val="24"/>
          <w:lang w:val="en-US"/>
        </w:rPr>
        <w:t>14.32</w:t>
      </w:r>
      <w:r>
        <w:rPr>
          <w:rStyle w:val="21"/>
          <w:rFonts w:hint="eastAsia" w:ascii="Times New Roman" w:hAnsi="Times New Roman" w:cs="Times New Roman"/>
          <w:b/>
          <w:caps/>
          <w:sz w:val="24"/>
          <w:szCs w:val="24"/>
        </w:rPr>
        <w:t>%，比较满意占</w:t>
      </w:r>
      <w:r>
        <w:rPr>
          <w:rStyle w:val="21"/>
          <w:rFonts w:hint="eastAsia" w:ascii="Times New Roman" w:hAnsi="Times New Roman" w:cs="Times New Roman"/>
          <w:b/>
          <w:caps/>
          <w:sz w:val="24"/>
          <w:szCs w:val="24"/>
          <w:lang w:val="en-US"/>
        </w:rPr>
        <w:t>37.88</w:t>
      </w:r>
      <w:r>
        <w:rPr>
          <w:rStyle w:val="21"/>
          <w:rFonts w:hint="eastAsia" w:ascii="Times New Roman" w:hAnsi="Times New Roman" w:cs="Times New Roman"/>
          <w:b/>
          <w:caps/>
          <w:sz w:val="24"/>
          <w:szCs w:val="24"/>
        </w:rPr>
        <w:t>%，一般占</w:t>
      </w:r>
      <w:r>
        <w:rPr>
          <w:rStyle w:val="21"/>
          <w:rFonts w:hint="eastAsia" w:ascii="Times New Roman" w:hAnsi="Times New Roman" w:cs="Times New Roman"/>
          <w:b/>
          <w:caps/>
          <w:sz w:val="24"/>
          <w:szCs w:val="24"/>
          <w:lang w:val="en-US"/>
        </w:rPr>
        <w:t>38.57</w:t>
      </w:r>
      <w:r>
        <w:rPr>
          <w:rStyle w:val="21"/>
          <w:rFonts w:hint="eastAsia" w:ascii="Times New Roman" w:hAnsi="Times New Roman" w:cs="Times New Roman"/>
          <w:b/>
          <w:caps/>
          <w:sz w:val="24"/>
          <w:szCs w:val="24"/>
        </w:rPr>
        <w:t>%。大部分</w:t>
      </w:r>
      <w:r>
        <w:rPr>
          <w:rStyle w:val="21"/>
          <w:rFonts w:ascii="Times New Roman" w:hAnsi="Times New Roman" w:cs="Times New Roman"/>
          <w:b/>
          <w:caps/>
          <w:sz w:val="24"/>
          <w:szCs w:val="24"/>
        </w:rPr>
        <w:t>毕业生对自己的就业状况表示满意</w:t>
      </w:r>
      <w:r>
        <w:rPr>
          <w:rStyle w:val="21"/>
          <w:rFonts w:hint="eastAsia" w:ascii="Times New Roman" w:hAnsi="Times New Roman" w:cs="Times New Roman"/>
          <w:b/>
          <w:caps/>
          <w:sz w:val="24"/>
          <w:szCs w:val="24"/>
        </w:rPr>
        <w:t>。</w:t>
      </w:r>
    </w:p>
    <w:p>
      <w:pPr>
        <w:jc w:val="center"/>
      </w:pPr>
      <w:r>
        <w:drawing>
          <wp:inline distT="0" distB="0" distL="114300" distR="114300">
            <wp:extent cx="3288665" cy="2201545"/>
            <wp:effectExtent l="4445" t="5080" r="21590" b="2222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ind w:firstLine="0" w:firstLineChars="0"/>
      </w:pPr>
      <w:r>
        <w:rPr>
          <w:rFonts w:hint="eastAsia"/>
        </w:rPr>
        <w:t xml:space="preserve">  </w:t>
      </w:r>
    </w:p>
    <w:p>
      <w:pPr>
        <w:pStyle w:val="19"/>
      </w:pPr>
      <w:r>
        <w:rPr>
          <w:rFonts w:hint="eastAsia"/>
        </w:rPr>
        <w:t>注：1.满意度=很满意+比较满意+一般。</w:t>
      </w:r>
    </w:p>
    <w:p>
      <w:pPr>
        <w:pStyle w:val="19"/>
        <w:rPr>
          <w:szCs w:val="18"/>
        </w:rPr>
      </w:pPr>
      <w:r>
        <w:t>2.</w:t>
      </w:r>
      <w:r>
        <w:rPr>
          <w:rFonts w:hint="eastAsia"/>
        </w:rPr>
        <w:t>由于四舍五入的原因，因此数据占比之和可能会出现不等于100</w:t>
      </w:r>
      <w:r>
        <w:t>%</w:t>
      </w:r>
      <w:r>
        <w:rPr>
          <w:rFonts w:hint="eastAsia"/>
        </w:rPr>
        <w:t>的情况（误差为±0.01）。</w:t>
      </w:r>
    </w:p>
    <w:p>
      <w:pPr>
        <w:pStyle w:val="19"/>
        <w:rPr>
          <w:rStyle w:val="24"/>
          <w:caps w:val="0"/>
        </w:rPr>
      </w:pPr>
      <w:r>
        <w:rPr>
          <w:rStyle w:val="24"/>
          <w:caps w:val="0"/>
        </w:rPr>
        <w:t>数据来源</w:t>
      </w:r>
      <w:r>
        <w:rPr>
          <w:rStyle w:val="24"/>
          <w:rFonts w:hint="eastAsia"/>
          <w:caps w:val="0"/>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rPr>
          <w:rStyle w:val="24"/>
          <w:caps w:val="0"/>
        </w:rPr>
        <w:t>。</w:t>
      </w:r>
    </w:p>
    <w:p>
      <w:pPr>
        <w:ind w:firstLine="480"/>
      </w:pPr>
    </w:p>
    <w:p>
      <w:pPr>
        <w:pStyle w:val="18"/>
        <w:spacing w:before="312" w:after="156"/>
        <w:ind w:firstLine="482"/>
        <w:rPr>
          <w:sz w:val="24"/>
          <w:szCs w:val="24"/>
        </w:rPr>
      </w:pPr>
      <w:r>
        <w:rPr>
          <w:rFonts w:hint="eastAsia"/>
          <w:sz w:val="24"/>
          <w:szCs w:val="24"/>
        </w:rPr>
        <w:t>学校对</w:t>
      </w:r>
      <w:r>
        <w:rPr>
          <w:sz w:val="24"/>
          <w:szCs w:val="24"/>
        </w:rPr>
        <w:t>工作各方面</w:t>
      </w:r>
      <w:r>
        <w:rPr>
          <w:rFonts w:hint="eastAsia"/>
          <w:sz w:val="24"/>
          <w:szCs w:val="24"/>
        </w:rPr>
        <w:t>的</w:t>
      </w:r>
      <w:r>
        <w:rPr>
          <w:sz w:val="24"/>
          <w:szCs w:val="24"/>
        </w:rPr>
        <w:t>满意度中，</w:t>
      </w:r>
      <w:r>
        <w:rPr>
          <w:rFonts w:hint="eastAsia"/>
          <w:sz w:val="24"/>
          <w:szCs w:val="24"/>
        </w:rPr>
        <w:t>毕业生满意度较高的是</w:t>
      </w:r>
      <w:r>
        <w:rPr>
          <w:rFonts w:hint="eastAsia"/>
          <w:sz w:val="24"/>
          <w:szCs w:val="24"/>
          <w:lang w:eastAsia="zh-CN"/>
        </w:rPr>
        <w:t>工作内容</w:t>
      </w:r>
      <w:r>
        <w:rPr>
          <w:rFonts w:hint="eastAsia"/>
          <w:sz w:val="24"/>
          <w:szCs w:val="24"/>
        </w:rPr>
        <w:t>（</w:t>
      </w:r>
      <w:r>
        <w:rPr>
          <w:rFonts w:hint="default" w:ascii="Times New Roman" w:hAnsi="Times New Roman" w:cs="Times New Roman"/>
          <w:sz w:val="24"/>
          <w:szCs w:val="24"/>
          <w:lang w:val="en-US" w:eastAsia="zh-CN"/>
        </w:rPr>
        <w:t>89.84%</w:t>
      </w:r>
      <w:r>
        <w:rPr>
          <w:sz w:val="24"/>
          <w:szCs w:val="24"/>
        </w:rPr>
        <w:t>）</w:t>
      </w:r>
      <w:r>
        <w:rPr>
          <w:rFonts w:hint="eastAsia"/>
          <w:sz w:val="24"/>
          <w:szCs w:val="24"/>
        </w:rPr>
        <w:t>和</w:t>
      </w:r>
      <w:r>
        <w:rPr>
          <w:rFonts w:hint="eastAsia"/>
          <w:sz w:val="24"/>
          <w:szCs w:val="24"/>
          <w:lang w:eastAsia="zh-CN"/>
        </w:rPr>
        <w:t>职业发展前景</w:t>
      </w:r>
      <w:r>
        <w:rPr>
          <w:rFonts w:hint="eastAsia"/>
          <w:sz w:val="24"/>
          <w:szCs w:val="24"/>
        </w:rPr>
        <w:t>（</w:t>
      </w:r>
      <w:r>
        <w:rPr>
          <w:rFonts w:hint="default" w:ascii="Times New Roman" w:hAnsi="Times New Roman" w:cs="Times New Roman"/>
          <w:sz w:val="24"/>
          <w:szCs w:val="24"/>
          <w:lang w:val="en-US" w:eastAsia="zh-CN"/>
        </w:rPr>
        <w:t>86.60%</w:t>
      </w:r>
      <w:r>
        <w:rPr>
          <w:sz w:val="24"/>
          <w:szCs w:val="24"/>
        </w:rPr>
        <w:t>）</w:t>
      </w:r>
    </w:p>
    <w:p>
      <w:pPr>
        <w:ind w:firstLine="0" w:firstLineChars="0"/>
        <w:jc w:val="center"/>
      </w:pPr>
      <w:r>
        <w:drawing>
          <wp:inline distT="0" distB="0" distL="0" distR="0">
            <wp:extent cx="4831080" cy="2392680"/>
            <wp:effectExtent l="0" t="0" r="7620" b="762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19"/>
      </w:pPr>
      <w:r>
        <w:rPr>
          <w:rFonts w:hint="eastAsia"/>
        </w:rPr>
        <w:t>注：1.满意度=很满意+比较满意+一般。</w:t>
      </w:r>
    </w:p>
    <w:p>
      <w:pPr>
        <w:pStyle w:val="19"/>
      </w:pPr>
      <w:r>
        <w:t>2.</w:t>
      </w:r>
      <w:r>
        <w:rPr>
          <w:rFonts w:hint="eastAsia"/>
        </w:rPr>
        <w:t>由于四舍五入的原因，因此数据占比之和可能会出现不等于100</w:t>
      </w:r>
      <w:r>
        <w:t>%</w:t>
      </w:r>
      <w:r>
        <w:rPr>
          <w:rFonts w:hint="eastAsia"/>
        </w:rPr>
        <w:t>的情况（误差为±0.01）。</w:t>
      </w:r>
    </w:p>
    <w:p>
      <w:pPr>
        <w:pStyle w:val="19"/>
        <w:sectPr>
          <w:pgSz w:w="11906" w:h="16838"/>
          <w:pgMar w:top="1440" w:right="1800" w:bottom="1440" w:left="1800" w:header="851" w:footer="992" w:gutter="0"/>
          <w:cols w:space="425" w:num="1"/>
          <w:docGrid w:type="lines" w:linePitch="312" w:charSpace="0"/>
        </w:sectPr>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p>
    <w:bookmarkEnd w:id="34"/>
    <w:p>
      <w:pPr>
        <w:pStyle w:val="3"/>
      </w:pPr>
      <w:bookmarkStart w:id="53" w:name="_Toc439953125"/>
      <w:r>
        <w:rPr>
          <w:rFonts w:hint="eastAsia"/>
        </w:rPr>
        <w:t>四</w:t>
      </w:r>
      <w:r>
        <w:t>、求职分析</w:t>
      </w:r>
      <w:bookmarkEnd w:id="53"/>
    </w:p>
    <w:p>
      <w:pPr>
        <w:pStyle w:val="4"/>
        <w:spacing w:before="156" w:after="156"/>
        <w:ind w:left="240"/>
      </w:pPr>
      <w:bookmarkStart w:id="54" w:name="_Toc439953126"/>
      <w:r>
        <w:rPr>
          <w:rFonts w:hint="eastAsia"/>
        </w:rPr>
        <w:t>（一</w:t>
      </w:r>
      <w:r>
        <w:t>）</w:t>
      </w:r>
      <w:r>
        <w:rPr>
          <w:rFonts w:hint="eastAsia"/>
        </w:rPr>
        <w:t>求职</w:t>
      </w:r>
      <w:r>
        <w:t>途径</w:t>
      </w:r>
      <w:bookmarkEnd w:id="54"/>
    </w:p>
    <w:p>
      <w:pPr>
        <w:pStyle w:val="18"/>
        <w:spacing w:before="312" w:after="156"/>
        <w:ind w:firstLine="482"/>
        <w:rPr>
          <w:sz w:val="24"/>
          <w:szCs w:val="24"/>
        </w:rPr>
      </w:pPr>
      <w:r>
        <w:rPr>
          <w:sz w:val="24"/>
          <w:szCs w:val="24"/>
        </w:rPr>
        <w:t>201</w:t>
      </w:r>
      <w:r>
        <w:rPr>
          <w:rFonts w:hint="eastAsia"/>
          <w:sz w:val="24"/>
          <w:szCs w:val="24"/>
          <w:lang w:val="en-US" w:eastAsia="zh-CN"/>
        </w:rPr>
        <w:t>6</w:t>
      </w:r>
      <w:r>
        <w:rPr>
          <w:rFonts w:hint="eastAsia"/>
          <w:sz w:val="24"/>
          <w:szCs w:val="24"/>
        </w:rPr>
        <w:t>届</w:t>
      </w:r>
      <w:r>
        <w:rPr>
          <w:sz w:val="24"/>
          <w:szCs w:val="24"/>
        </w:rPr>
        <w:t>毕业生</w:t>
      </w:r>
      <w:r>
        <w:rPr>
          <w:rFonts w:hint="eastAsia"/>
          <w:sz w:val="24"/>
          <w:szCs w:val="24"/>
        </w:rPr>
        <w:t>主要</w:t>
      </w:r>
      <w:r>
        <w:rPr>
          <w:sz w:val="24"/>
          <w:szCs w:val="24"/>
        </w:rPr>
        <w:t>通过</w:t>
      </w:r>
      <w:r>
        <w:rPr>
          <w:rFonts w:hint="eastAsia"/>
          <w:sz w:val="24"/>
          <w:szCs w:val="24"/>
          <w:lang w:eastAsia="zh-CN"/>
        </w:rPr>
        <w:t>学校组织的现场招聘会（</w:t>
      </w:r>
      <w:r>
        <w:rPr>
          <w:rFonts w:hint="eastAsia"/>
          <w:sz w:val="24"/>
          <w:szCs w:val="24"/>
          <w:lang w:val="en-US" w:eastAsia="zh-CN"/>
        </w:rPr>
        <w:t>27.71%</w:t>
      </w:r>
      <w:r>
        <w:rPr>
          <w:rFonts w:hint="eastAsia"/>
          <w:sz w:val="24"/>
          <w:szCs w:val="24"/>
          <w:lang w:eastAsia="zh-CN"/>
        </w:rPr>
        <w:t>）、直接向用人单位申请</w:t>
      </w:r>
      <w:r>
        <w:rPr>
          <w:rFonts w:hint="eastAsia"/>
          <w:sz w:val="24"/>
          <w:szCs w:val="24"/>
        </w:rPr>
        <w:t>（</w:t>
      </w:r>
      <w:r>
        <w:rPr>
          <w:rFonts w:hint="eastAsia"/>
          <w:sz w:val="24"/>
          <w:szCs w:val="24"/>
          <w:lang w:val="en-US" w:eastAsia="zh-CN"/>
        </w:rPr>
        <w:t>18.48</w:t>
      </w:r>
      <w:r>
        <w:rPr>
          <w:sz w:val="24"/>
          <w:szCs w:val="24"/>
        </w:rPr>
        <w:t>%）</w:t>
      </w:r>
      <w:r>
        <w:rPr>
          <w:rFonts w:hint="eastAsia"/>
          <w:sz w:val="24"/>
          <w:szCs w:val="24"/>
          <w:lang w:eastAsia="zh-CN"/>
        </w:rPr>
        <w:t>方式落实就业。</w:t>
      </w:r>
    </w:p>
    <w:p>
      <w:pPr>
        <w:jc w:val="center"/>
        <w:rPr>
          <w:rFonts w:hint="eastAsia" w:eastAsiaTheme="minorEastAsia"/>
          <w:lang w:eastAsia="zh-CN"/>
        </w:rPr>
      </w:pPr>
      <w:r>
        <w:rPr>
          <w:rFonts w:hint="eastAsia" w:eastAsiaTheme="minorEastAsia"/>
          <w:lang w:eastAsia="zh-CN"/>
        </w:rPr>
        <w:drawing>
          <wp:inline distT="0" distB="0" distL="114300" distR="114300">
            <wp:extent cx="4918710" cy="3590925"/>
            <wp:effectExtent l="4445" t="4445" r="10795" b="508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ind w:firstLine="0" w:firstLineChars="0"/>
        <w:jc w:val="center"/>
      </w:pPr>
    </w:p>
    <w:p>
      <w:pPr>
        <w:pStyle w:val="19"/>
      </w:pPr>
      <w:r>
        <w:rPr>
          <w:rFonts w:hint="eastAsia"/>
        </w:rPr>
        <w:t>注：学校途径包括顶岗实习、学校组织的现场招聘会、学校及老师的推荐、学校提供的其他实习</w:t>
      </w:r>
      <w:r>
        <w:t>/</w:t>
      </w:r>
      <w:r>
        <w:rPr>
          <w:rFonts w:hint="eastAsia"/>
        </w:rPr>
        <w:t>实践机会以及学校网站发布的就业信息。社会途径</w:t>
      </w:r>
      <w:r>
        <w:t>包括直接向用人单位申请和专业</w:t>
      </w:r>
      <w:r>
        <w:rPr>
          <w:rFonts w:hint="eastAsia"/>
        </w:rPr>
        <w:t>化</w:t>
      </w:r>
      <w:r>
        <w:t>的</w:t>
      </w:r>
      <w:r>
        <w:rPr>
          <w:rFonts w:hint="eastAsia"/>
        </w:rPr>
        <w:t>招聘</w:t>
      </w:r>
      <w:r>
        <w:t>求职网站。</w:t>
      </w:r>
    </w:p>
    <w:p>
      <w:pPr>
        <w:pStyle w:val="19"/>
      </w:pPr>
      <w:r>
        <w:rPr>
          <w:rFonts w:hint="eastAsia"/>
        </w:rPr>
        <w:t>数据来源：</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rPr>
          <w:rFonts w:hint="eastAsia"/>
        </w:rPr>
        <w:t>。</w:t>
      </w:r>
    </w:p>
    <w:p>
      <w:pPr>
        <w:pStyle w:val="4"/>
        <w:spacing w:before="156" w:after="156"/>
        <w:ind w:left="240"/>
        <w:sectPr>
          <w:pgSz w:w="11906" w:h="16838"/>
          <w:pgMar w:top="1440" w:right="1800" w:bottom="1440" w:left="1800" w:header="851" w:footer="992" w:gutter="0"/>
          <w:cols w:space="425" w:num="1"/>
          <w:docGrid w:type="lines" w:linePitch="312" w:charSpace="0"/>
        </w:sectPr>
      </w:pPr>
    </w:p>
    <w:p>
      <w:pPr>
        <w:pStyle w:val="4"/>
        <w:spacing w:before="156" w:after="156"/>
        <w:ind w:left="240"/>
        <w:sectPr>
          <w:type w:val="continuous"/>
          <w:pgSz w:w="11906" w:h="16838"/>
          <w:pgMar w:top="1440" w:right="1800" w:bottom="1440" w:left="1800" w:header="851" w:footer="992" w:gutter="0"/>
          <w:cols w:space="425" w:num="1"/>
          <w:docGrid w:type="lines" w:linePitch="312" w:charSpace="0"/>
        </w:sectPr>
      </w:pPr>
    </w:p>
    <w:p>
      <w:pPr>
        <w:pStyle w:val="4"/>
        <w:spacing w:before="156" w:after="156"/>
        <w:ind w:left="240"/>
      </w:pPr>
      <w:bookmarkStart w:id="55" w:name="_Toc439953127"/>
      <w:r>
        <w:rPr>
          <w:rFonts w:hint="eastAsia"/>
        </w:rPr>
        <w:t>（二</w:t>
      </w:r>
      <w:r>
        <w:t>）</w:t>
      </w:r>
      <w:r>
        <w:rPr>
          <w:rFonts w:hint="eastAsia"/>
        </w:rPr>
        <w:t>求职困难</w:t>
      </w:r>
      <w:bookmarkEnd w:id="55"/>
    </w:p>
    <w:p>
      <w:pPr>
        <w:pStyle w:val="18"/>
        <w:spacing w:before="312" w:after="156"/>
        <w:ind w:firstLine="482"/>
        <w:jc w:val="left"/>
        <w:rPr>
          <w:rFonts w:hint="eastAsia" w:ascii="Times New Roman" w:hAnsi="Times New Roman" w:cs="Times New Roman"/>
          <w:sz w:val="24"/>
          <w:szCs w:val="24"/>
          <w:lang w:eastAsia="zh-CN"/>
        </w:rPr>
      </w:pPr>
      <w:r>
        <w:rPr>
          <w:sz w:val="24"/>
          <w:szCs w:val="24"/>
        </w:rPr>
        <w:t>毕业生在求职过程中遇到的</w:t>
      </w:r>
      <w:r>
        <w:rPr>
          <w:rFonts w:hint="eastAsia"/>
          <w:sz w:val="24"/>
          <w:szCs w:val="24"/>
        </w:rPr>
        <w:t>首要</w:t>
      </w:r>
      <w:r>
        <w:rPr>
          <w:sz w:val="24"/>
          <w:szCs w:val="24"/>
        </w:rPr>
        <w:t>困难是</w:t>
      </w:r>
      <w:r>
        <w:rPr>
          <w:rFonts w:hint="eastAsia"/>
          <w:sz w:val="24"/>
          <w:szCs w:val="24"/>
          <w:lang w:eastAsia="zh-CN"/>
        </w:rPr>
        <w:t>缺乏实践经验</w:t>
      </w:r>
      <w:r>
        <w:rPr>
          <w:rFonts w:ascii="Times New Roman" w:hAnsi="Times New Roman" w:cs="Times New Roman"/>
          <w:sz w:val="24"/>
          <w:szCs w:val="24"/>
        </w:rPr>
        <w:t>（</w:t>
      </w:r>
      <w:r>
        <w:rPr>
          <w:rFonts w:hint="eastAsia" w:ascii="Times New Roman" w:hAnsi="Times New Roman" w:cs="Times New Roman"/>
          <w:sz w:val="24"/>
          <w:szCs w:val="24"/>
          <w:lang w:val="en-US" w:eastAsia="zh-CN"/>
        </w:rPr>
        <w:t>52.63</w:t>
      </w:r>
      <w:r>
        <w:rPr>
          <w:rFonts w:ascii="Times New Roman" w:hAnsi="Times New Roman" w:cs="Times New Roman"/>
          <w:sz w:val="24"/>
          <w:szCs w:val="24"/>
        </w:rPr>
        <w:t>%）</w:t>
      </w:r>
      <w:r>
        <w:rPr>
          <w:rFonts w:hint="eastAsia"/>
          <w:sz w:val="24"/>
          <w:szCs w:val="24"/>
        </w:rPr>
        <w:t>。另外，</w:t>
      </w:r>
      <w:r>
        <w:rPr>
          <w:rFonts w:hint="eastAsia"/>
          <w:sz w:val="24"/>
          <w:szCs w:val="24"/>
          <w:lang w:eastAsia="zh-CN"/>
        </w:rPr>
        <w:t>适合自己专业和学历的岗位太少</w:t>
      </w:r>
      <w:r>
        <w:rPr>
          <w:rFonts w:ascii="Times New Roman" w:hAnsi="Times New Roman" w:cs="Times New Roman"/>
          <w:sz w:val="24"/>
          <w:szCs w:val="24"/>
        </w:rPr>
        <w:t>（</w:t>
      </w:r>
      <w:r>
        <w:rPr>
          <w:rFonts w:hint="eastAsia" w:ascii="Times New Roman" w:hAnsi="Times New Roman" w:cs="Times New Roman"/>
          <w:sz w:val="24"/>
          <w:szCs w:val="24"/>
          <w:lang w:val="en-US" w:eastAsia="zh-CN"/>
        </w:rPr>
        <w:t>42.11</w:t>
      </w:r>
      <w:r>
        <w:rPr>
          <w:rFonts w:ascii="Times New Roman" w:hAnsi="Times New Roman" w:cs="Times New Roman"/>
          <w:sz w:val="24"/>
          <w:szCs w:val="24"/>
        </w:rPr>
        <w:t>%）</w:t>
      </w:r>
      <w:r>
        <w:rPr>
          <w:rFonts w:hint="eastAsia"/>
          <w:sz w:val="24"/>
          <w:szCs w:val="24"/>
        </w:rPr>
        <w:t>、</w:t>
      </w:r>
      <w:r>
        <w:rPr>
          <w:rFonts w:hint="eastAsia"/>
          <w:sz w:val="24"/>
          <w:szCs w:val="24"/>
          <w:lang w:eastAsia="zh-CN"/>
        </w:rPr>
        <w:t>社会关系缺乏</w:t>
      </w:r>
      <w:r>
        <w:rPr>
          <w:rFonts w:ascii="Times New Roman" w:hAnsi="Times New Roman" w:cs="Times New Roman"/>
          <w:sz w:val="24"/>
          <w:szCs w:val="24"/>
        </w:rPr>
        <w:t>（28.</w:t>
      </w:r>
      <w:r>
        <w:rPr>
          <w:rFonts w:hint="eastAsia" w:ascii="Times New Roman" w:hAnsi="Times New Roman" w:cs="Times New Roman"/>
          <w:sz w:val="24"/>
          <w:szCs w:val="24"/>
          <w:lang w:val="en-US" w:eastAsia="zh-CN"/>
        </w:rPr>
        <w:t>95</w:t>
      </w:r>
      <w:r>
        <w:rPr>
          <w:rFonts w:ascii="Times New Roman" w:hAnsi="Times New Roman" w:cs="Times New Roman"/>
          <w:sz w:val="24"/>
          <w:szCs w:val="24"/>
        </w:rPr>
        <w:t>%）</w:t>
      </w:r>
      <w:r>
        <w:rPr>
          <w:rFonts w:hint="eastAsia" w:ascii="Times New Roman" w:hAnsi="Times New Roman" w:cs="Times New Roman"/>
          <w:sz w:val="24"/>
          <w:szCs w:val="24"/>
        </w:rPr>
        <w:t>也是面临</w:t>
      </w:r>
      <w:r>
        <w:rPr>
          <w:rFonts w:ascii="Times New Roman" w:hAnsi="Times New Roman" w:cs="Times New Roman"/>
          <w:sz w:val="24"/>
          <w:szCs w:val="24"/>
        </w:rPr>
        <w:t>的主要困难</w:t>
      </w:r>
      <w:r>
        <w:rPr>
          <w:rFonts w:hint="eastAsia" w:ascii="Times New Roman" w:hAnsi="Times New Roman" w:cs="Times New Roman"/>
          <w:sz w:val="24"/>
          <w:szCs w:val="24"/>
          <w:lang w:eastAsia="zh-CN"/>
        </w:rPr>
        <w:t>。</w:t>
      </w:r>
    </w:p>
    <w:p>
      <w:pPr>
        <w:jc w:val="center"/>
        <w:rPr>
          <w:sz w:val="24"/>
          <w:szCs w:val="24"/>
        </w:rPr>
      </w:pPr>
      <w:r>
        <w:drawing>
          <wp:inline distT="0" distB="0" distL="114300" distR="114300">
            <wp:extent cx="4289425" cy="2886075"/>
            <wp:effectExtent l="4445" t="4445" r="11430" b="5080"/>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ind w:firstLine="0" w:firstLineChars="0"/>
      </w:pPr>
    </w:p>
    <w:p>
      <w:pPr>
        <w:pStyle w:val="19"/>
      </w:pPr>
      <w:r>
        <w:rPr>
          <w:rFonts w:hint="eastAsia"/>
        </w:rPr>
        <w:t>注：该题目为多选题，因此选项的百分比之和不是100</w:t>
      </w:r>
      <w:r>
        <w:t>%</w:t>
      </w:r>
      <w:r>
        <w:rPr>
          <w:rFonts w:hint="eastAsia"/>
        </w:rPr>
        <w:t>。</w:t>
      </w:r>
    </w:p>
    <w:p>
      <w:pPr>
        <w:pStyle w:val="19"/>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p>
    <w:p>
      <w:pPr>
        <w:ind w:firstLine="723"/>
        <w:rPr>
          <w:rFonts w:ascii="黑体" w:hAnsi="黑体" w:eastAsia="黑体"/>
          <w:b/>
          <w:caps/>
          <w:spacing w:val="15"/>
          <w:sz w:val="36"/>
          <w:szCs w:val="36"/>
        </w:rPr>
      </w:pPr>
      <w:r>
        <w:rPr>
          <w:rFonts w:ascii="黑体" w:hAnsi="黑体" w:eastAsia="黑体"/>
          <w:b/>
          <w:sz w:val="36"/>
          <w:szCs w:val="36"/>
        </w:rPr>
        <w:br w:type="page"/>
      </w:r>
    </w:p>
    <w:p>
      <w:pPr>
        <w:pStyle w:val="2"/>
        <w:spacing w:after="468"/>
        <w:ind w:firstLine="723"/>
        <w:rPr>
          <w:color w:val="000000" w:themeColor="text1"/>
          <w14:textFill>
            <w14:solidFill>
              <w14:schemeClr w14:val="tx1"/>
            </w14:solidFill>
          </w14:textFill>
        </w:rPr>
      </w:pPr>
      <w:bookmarkStart w:id="56" w:name="_Toc439953128"/>
      <w:r>
        <w:rPr>
          <w:rFonts w:hint="eastAsia"/>
          <w:color w:val="000000" w:themeColor="text1"/>
          <w14:textFill>
            <w14:solidFill>
              <w14:schemeClr w14:val="tx1"/>
            </w14:solidFill>
          </w14:textFill>
        </w:rPr>
        <w:t>第四篇</w:t>
      </w:r>
      <w:r>
        <w:rPr>
          <w:color w:val="000000" w:themeColor="text1"/>
          <w14:textFill>
            <w14:solidFill>
              <w14:schemeClr w14:val="tx1"/>
            </w14:solidFill>
          </w14:textFill>
        </w:rPr>
        <w:t>：就业发展趋势分析</w:t>
      </w:r>
      <w:bookmarkEnd w:id="56"/>
    </w:p>
    <w:p>
      <w:pPr>
        <w:pStyle w:val="3"/>
      </w:pPr>
      <w:bookmarkStart w:id="57" w:name="_Toc439953129"/>
      <w:r>
        <w:rPr>
          <w:rFonts w:hint="eastAsia"/>
        </w:rPr>
        <w:t>一</w:t>
      </w:r>
      <w:r>
        <w:t>、</w:t>
      </w:r>
      <w:r>
        <w:rPr>
          <w:rFonts w:hint="eastAsia"/>
        </w:rPr>
        <w:t>毕业生规模</w:t>
      </w:r>
      <w:r>
        <w:t>不断扩大，就业率</w:t>
      </w:r>
      <w:r>
        <w:rPr>
          <w:rFonts w:hint="eastAsia"/>
        </w:rPr>
        <w:t>始终保持</w:t>
      </w:r>
      <w:r>
        <w:t>较高水平</w:t>
      </w:r>
      <w:bookmarkEnd w:id="57"/>
    </w:p>
    <w:p>
      <w:pPr>
        <w:pStyle w:val="16"/>
        <w:spacing w:before="156" w:after="156"/>
      </w:pPr>
      <w:r>
        <w:rPr>
          <w:rStyle w:val="21"/>
          <w:rFonts w:hint="eastAsia" w:eastAsiaTheme="minorEastAsia"/>
          <w:b w:val="0"/>
          <w:caps w:val="0"/>
          <w:color w:val="000000" w:themeColor="text1"/>
          <w:sz w:val="24"/>
          <w14:textFill>
            <w14:solidFill>
              <w14:schemeClr w14:val="tx1"/>
            </w14:solidFill>
          </w14:textFill>
        </w:rPr>
        <w:t>我校历来重视毕业生的就业工作，将实现毕业生的充分就业和高质量就业作为工作重心。纵观我</w:t>
      </w:r>
      <w:r>
        <w:rPr>
          <w:rStyle w:val="21"/>
          <w:rFonts w:eastAsiaTheme="minorEastAsia"/>
          <w:b w:val="0"/>
          <w:caps w:val="0"/>
          <w:color w:val="000000" w:themeColor="text1"/>
          <w:sz w:val="24"/>
          <w14:textFill>
            <w14:solidFill>
              <w14:schemeClr w14:val="tx1"/>
            </w14:solidFill>
          </w14:textFill>
        </w:rPr>
        <w:t>院201</w:t>
      </w:r>
      <w:r>
        <w:rPr>
          <w:rStyle w:val="21"/>
          <w:rFonts w:hint="eastAsia"/>
          <w:b w:val="0"/>
          <w:caps w:val="0"/>
          <w:color w:val="000000" w:themeColor="text1"/>
          <w:sz w:val="24"/>
          <w:lang w:val="en-US"/>
          <w14:textFill>
            <w14:solidFill>
              <w14:schemeClr w14:val="tx1"/>
            </w14:solidFill>
          </w14:textFill>
        </w:rPr>
        <w:t>4</w:t>
      </w:r>
      <w:r>
        <w:rPr>
          <w:rStyle w:val="21"/>
          <w:rFonts w:eastAsiaTheme="minorEastAsia"/>
          <w:b w:val="0"/>
          <w:caps w:val="0"/>
          <w:color w:val="000000" w:themeColor="text1"/>
          <w:sz w:val="24"/>
          <w14:textFill>
            <w14:solidFill>
              <w14:schemeClr w14:val="tx1"/>
            </w14:solidFill>
          </w14:textFill>
        </w:rPr>
        <w:t>-201</w:t>
      </w:r>
      <w:r>
        <w:rPr>
          <w:rStyle w:val="21"/>
          <w:rFonts w:hint="eastAsia"/>
          <w:b w:val="0"/>
          <w:caps w:val="0"/>
          <w:color w:val="000000" w:themeColor="text1"/>
          <w:sz w:val="24"/>
          <w:lang w:val="en-US"/>
          <w14:textFill>
            <w14:solidFill>
              <w14:schemeClr w14:val="tx1"/>
            </w14:solidFill>
          </w14:textFill>
        </w:rPr>
        <w:t>6</w:t>
      </w:r>
      <w:r>
        <w:rPr>
          <w:rStyle w:val="21"/>
          <w:rFonts w:eastAsiaTheme="minorEastAsia"/>
          <w:b w:val="0"/>
          <w:caps w:val="0"/>
          <w:color w:val="000000" w:themeColor="text1"/>
          <w:sz w:val="24"/>
          <w14:textFill>
            <w14:solidFill>
              <w14:schemeClr w14:val="tx1"/>
            </w14:solidFill>
          </w14:textFill>
        </w:rPr>
        <w:t>届的毕业</w:t>
      </w:r>
      <w:r>
        <w:rPr>
          <w:rStyle w:val="21"/>
          <w:rFonts w:hint="eastAsia" w:eastAsiaTheme="minorEastAsia"/>
          <w:b w:val="0"/>
          <w:caps w:val="0"/>
          <w:color w:val="000000" w:themeColor="text1"/>
          <w:sz w:val="24"/>
          <w14:textFill>
            <w14:solidFill>
              <w14:schemeClr w14:val="tx1"/>
            </w14:solidFill>
          </w14:textFill>
        </w:rPr>
        <w:t>生</w:t>
      </w:r>
      <w:r>
        <w:rPr>
          <w:rStyle w:val="21"/>
          <w:rFonts w:eastAsiaTheme="minorEastAsia"/>
          <w:b w:val="0"/>
          <w:caps w:val="0"/>
          <w:color w:val="000000" w:themeColor="text1"/>
          <w:sz w:val="24"/>
          <w14:textFill>
            <w14:solidFill>
              <w14:schemeClr w14:val="tx1"/>
            </w14:solidFill>
          </w14:textFill>
        </w:rPr>
        <w:t>人数和就业率数据</w:t>
      </w:r>
      <w:r>
        <w:rPr>
          <w:rStyle w:val="21"/>
          <w:rFonts w:hint="eastAsia" w:eastAsiaTheme="minorEastAsia"/>
          <w:b w:val="0"/>
          <w:caps w:val="0"/>
          <w:color w:val="000000" w:themeColor="text1"/>
          <w:sz w:val="24"/>
          <w14:textFill>
            <w14:solidFill>
              <w14:schemeClr w14:val="tx1"/>
            </w14:solidFill>
          </w14:textFill>
        </w:rPr>
        <w:t>，在毕业生</w:t>
      </w:r>
      <w:r>
        <w:rPr>
          <w:rStyle w:val="21"/>
          <w:rFonts w:eastAsiaTheme="minorEastAsia"/>
          <w:b w:val="0"/>
          <w:caps w:val="0"/>
          <w:color w:val="000000" w:themeColor="text1"/>
          <w:sz w:val="24"/>
          <w14:textFill>
            <w14:solidFill>
              <w14:schemeClr w14:val="tx1"/>
            </w14:solidFill>
          </w14:textFill>
        </w:rPr>
        <w:t>规模急速</w:t>
      </w:r>
      <w:r>
        <w:rPr>
          <w:rStyle w:val="21"/>
          <w:rFonts w:hint="eastAsia" w:eastAsiaTheme="minorEastAsia"/>
          <w:b w:val="0"/>
          <w:caps w:val="0"/>
          <w:color w:val="000000" w:themeColor="text1"/>
          <w:sz w:val="24"/>
          <w14:textFill>
            <w14:solidFill>
              <w14:schemeClr w14:val="tx1"/>
            </w14:solidFill>
          </w14:textFill>
        </w:rPr>
        <w:t>扩增的</w:t>
      </w:r>
      <w:r>
        <w:rPr>
          <w:rStyle w:val="21"/>
          <w:rFonts w:eastAsiaTheme="minorEastAsia"/>
          <w:b w:val="0"/>
          <w:caps w:val="0"/>
          <w:color w:val="000000" w:themeColor="text1"/>
          <w:sz w:val="24"/>
          <w14:textFill>
            <w14:solidFill>
              <w14:schemeClr w14:val="tx1"/>
            </w14:solidFill>
          </w14:textFill>
        </w:rPr>
        <w:t>基础上，</w:t>
      </w:r>
      <w:r>
        <w:rPr>
          <w:rStyle w:val="21"/>
          <w:rFonts w:hint="eastAsia" w:eastAsiaTheme="minorEastAsia"/>
          <w:b w:val="0"/>
          <w:caps w:val="0"/>
          <w:color w:val="000000" w:themeColor="text1"/>
          <w:sz w:val="24"/>
          <w14:textFill>
            <w14:solidFill>
              <w14:schemeClr w14:val="tx1"/>
            </w14:solidFill>
          </w14:textFill>
        </w:rPr>
        <w:t>我院毕业生</w:t>
      </w:r>
      <w:r>
        <w:rPr>
          <w:rStyle w:val="21"/>
          <w:rFonts w:eastAsiaTheme="minorEastAsia"/>
          <w:b w:val="0"/>
          <w:caps w:val="0"/>
          <w:color w:val="000000" w:themeColor="text1"/>
          <w:sz w:val="24"/>
          <w14:textFill>
            <w14:solidFill>
              <w14:schemeClr w14:val="tx1"/>
            </w14:solidFill>
          </w14:textFill>
        </w:rPr>
        <w:t>就业率</w:t>
      </w:r>
      <w:r>
        <w:rPr>
          <w:rStyle w:val="21"/>
          <w:rFonts w:hint="eastAsia" w:eastAsiaTheme="minorEastAsia"/>
          <w:b w:val="0"/>
          <w:caps w:val="0"/>
          <w:color w:val="000000" w:themeColor="text1"/>
          <w:sz w:val="24"/>
          <w14:textFill>
            <w14:solidFill>
              <w14:schemeClr w14:val="tx1"/>
            </w14:solidFill>
          </w14:textFill>
        </w:rPr>
        <w:t>仍然保持</w:t>
      </w:r>
      <w:r>
        <w:rPr>
          <w:rStyle w:val="21"/>
          <w:rFonts w:eastAsiaTheme="minorEastAsia"/>
          <w:b w:val="0"/>
          <w:caps w:val="0"/>
          <w:color w:val="000000" w:themeColor="text1"/>
          <w:sz w:val="24"/>
          <w14:textFill>
            <w14:solidFill>
              <w14:schemeClr w14:val="tx1"/>
            </w14:solidFill>
          </w14:textFill>
        </w:rPr>
        <w:t>较高水平。</w:t>
      </w:r>
      <w:r>
        <w:rPr>
          <w:rStyle w:val="21"/>
          <w:rFonts w:hint="eastAsia" w:eastAsiaTheme="minorEastAsia"/>
          <w:b w:val="0"/>
          <w:caps w:val="0"/>
          <w:color w:val="000000" w:themeColor="text1"/>
          <w:sz w:val="24"/>
          <w14:textFill>
            <w14:solidFill>
              <w14:schemeClr w14:val="tx1"/>
            </w14:solidFill>
          </w14:textFill>
        </w:rPr>
        <w:t>201</w:t>
      </w:r>
      <w:r>
        <w:rPr>
          <w:rStyle w:val="21"/>
          <w:rFonts w:hint="eastAsia"/>
          <w:b w:val="0"/>
          <w:caps w:val="0"/>
          <w:color w:val="000000" w:themeColor="text1"/>
          <w:sz w:val="24"/>
          <w:lang w:val="en-US"/>
          <w14:textFill>
            <w14:solidFill>
              <w14:schemeClr w14:val="tx1"/>
            </w14:solidFill>
          </w14:textFill>
        </w:rPr>
        <w:t>4</w:t>
      </w:r>
      <w:r>
        <w:rPr>
          <w:rStyle w:val="21"/>
          <w:rFonts w:hint="eastAsia" w:eastAsiaTheme="minorEastAsia"/>
          <w:b w:val="0"/>
          <w:caps w:val="0"/>
          <w:color w:val="000000" w:themeColor="text1"/>
          <w:sz w:val="24"/>
          <w14:textFill>
            <w14:solidFill>
              <w14:schemeClr w14:val="tx1"/>
            </w14:solidFill>
          </w14:textFill>
        </w:rPr>
        <w:t>届的毕业生人数为</w:t>
      </w:r>
      <w:r>
        <w:rPr>
          <w:rStyle w:val="21"/>
          <w:rFonts w:hint="eastAsia"/>
          <w:b w:val="0"/>
          <w:caps w:val="0"/>
          <w:color w:val="000000" w:themeColor="text1"/>
          <w:sz w:val="24"/>
          <w:lang w:val="en-US"/>
          <w14:textFill>
            <w14:solidFill>
              <w14:schemeClr w14:val="tx1"/>
            </w14:solidFill>
          </w14:textFill>
        </w:rPr>
        <w:t>2034</w:t>
      </w:r>
      <w:r>
        <w:rPr>
          <w:rStyle w:val="21"/>
          <w:rFonts w:hint="eastAsia" w:eastAsiaTheme="minorEastAsia"/>
          <w:b w:val="0"/>
          <w:caps w:val="0"/>
          <w:color w:val="000000" w:themeColor="text1"/>
          <w:sz w:val="24"/>
          <w14:textFill>
            <w14:solidFill>
              <w14:schemeClr w14:val="tx1"/>
            </w14:solidFill>
          </w14:textFill>
        </w:rPr>
        <w:t>人，就业率为</w:t>
      </w:r>
      <w:r>
        <w:rPr>
          <w:rStyle w:val="21"/>
          <w:rFonts w:hint="eastAsia"/>
          <w:b w:val="0"/>
          <w:caps w:val="0"/>
          <w:color w:val="000000" w:themeColor="text1"/>
          <w:sz w:val="24"/>
          <w:lang w:val="en-US"/>
          <w14:textFill>
            <w14:solidFill>
              <w14:schemeClr w14:val="tx1"/>
            </w14:solidFill>
          </w14:textFill>
        </w:rPr>
        <w:t>98.43</w:t>
      </w:r>
      <w:r>
        <w:rPr>
          <w:rStyle w:val="21"/>
          <w:rFonts w:hint="eastAsia" w:eastAsiaTheme="minorEastAsia"/>
          <w:b w:val="0"/>
          <w:caps w:val="0"/>
          <w:color w:val="000000" w:themeColor="text1"/>
          <w:sz w:val="24"/>
          <w14:textFill>
            <w14:solidFill>
              <w14:schemeClr w14:val="tx1"/>
            </w14:solidFill>
          </w14:textFill>
        </w:rPr>
        <w:t>%；与201</w:t>
      </w:r>
      <w:r>
        <w:rPr>
          <w:rStyle w:val="21"/>
          <w:rFonts w:hint="eastAsia"/>
          <w:b w:val="0"/>
          <w:caps w:val="0"/>
          <w:color w:val="000000" w:themeColor="text1"/>
          <w:sz w:val="24"/>
          <w:lang w:val="en-US"/>
          <w14:textFill>
            <w14:solidFill>
              <w14:schemeClr w14:val="tx1"/>
            </w14:solidFill>
          </w14:textFill>
        </w:rPr>
        <w:t>4</w:t>
      </w:r>
      <w:r>
        <w:rPr>
          <w:rStyle w:val="21"/>
          <w:rFonts w:hint="eastAsia" w:eastAsiaTheme="minorEastAsia"/>
          <w:b w:val="0"/>
          <w:caps w:val="0"/>
          <w:color w:val="000000" w:themeColor="text1"/>
          <w:sz w:val="24"/>
          <w14:textFill>
            <w14:solidFill>
              <w14:schemeClr w14:val="tx1"/>
            </w14:solidFill>
          </w14:textFill>
        </w:rPr>
        <w:t>届</w:t>
      </w:r>
      <w:r>
        <w:rPr>
          <w:rStyle w:val="21"/>
          <w:rFonts w:eastAsiaTheme="minorEastAsia"/>
          <w:b w:val="0"/>
          <w:caps w:val="0"/>
          <w:color w:val="000000" w:themeColor="text1"/>
          <w:sz w:val="24"/>
          <w14:textFill>
            <w14:solidFill>
              <w14:schemeClr w14:val="tx1"/>
            </w14:solidFill>
          </w14:textFill>
        </w:rPr>
        <w:t>相比，</w:t>
      </w:r>
      <w:r>
        <w:rPr>
          <w:rStyle w:val="21"/>
          <w:rFonts w:hint="eastAsia" w:eastAsiaTheme="minorEastAsia"/>
          <w:b w:val="0"/>
          <w:caps w:val="0"/>
          <w:color w:val="000000" w:themeColor="text1"/>
          <w:sz w:val="24"/>
          <w14:textFill>
            <w14:solidFill>
              <w14:schemeClr w14:val="tx1"/>
            </w14:solidFill>
          </w14:textFill>
        </w:rPr>
        <w:t>201</w:t>
      </w:r>
      <w:r>
        <w:rPr>
          <w:rStyle w:val="21"/>
          <w:rFonts w:hint="eastAsia"/>
          <w:b w:val="0"/>
          <w:caps w:val="0"/>
          <w:color w:val="000000" w:themeColor="text1"/>
          <w:sz w:val="24"/>
          <w:lang w:val="en-US"/>
          <w14:textFill>
            <w14:solidFill>
              <w14:schemeClr w14:val="tx1"/>
            </w14:solidFill>
          </w14:textFill>
        </w:rPr>
        <w:t>5</w:t>
      </w:r>
      <w:r>
        <w:rPr>
          <w:rStyle w:val="21"/>
          <w:rFonts w:hint="eastAsia" w:eastAsiaTheme="minorEastAsia"/>
          <w:b w:val="0"/>
          <w:caps w:val="0"/>
          <w:color w:val="000000" w:themeColor="text1"/>
          <w:sz w:val="24"/>
          <w14:textFill>
            <w14:solidFill>
              <w14:schemeClr w14:val="tx1"/>
            </w14:solidFill>
          </w14:textFill>
        </w:rPr>
        <w:t>届和201</w:t>
      </w:r>
      <w:r>
        <w:rPr>
          <w:rStyle w:val="21"/>
          <w:rFonts w:hint="eastAsia"/>
          <w:b w:val="0"/>
          <w:caps w:val="0"/>
          <w:color w:val="000000" w:themeColor="text1"/>
          <w:sz w:val="24"/>
          <w:lang w:val="en-US"/>
          <w14:textFill>
            <w14:solidFill>
              <w14:schemeClr w14:val="tx1"/>
            </w14:solidFill>
          </w14:textFill>
        </w:rPr>
        <w:t>6</w:t>
      </w:r>
      <w:r>
        <w:rPr>
          <w:rStyle w:val="21"/>
          <w:rFonts w:hint="eastAsia" w:eastAsiaTheme="minorEastAsia"/>
          <w:b w:val="0"/>
          <w:caps w:val="0"/>
          <w:color w:val="000000" w:themeColor="text1"/>
          <w:sz w:val="24"/>
          <w14:textFill>
            <w14:solidFill>
              <w14:schemeClr w14:val="tx1"/>
            </w14:solidFill>
          </w14:textFill>
        </w:rPr>
        <w:t>届毕业生人数</w:t>
      </w:r>
      <w:r>
        <w:rPr>
          <w:rStyle w:val="21"/>
          <w:rFonts w:hint="eastAsia" w:asciiTheme="minorEastAsia" w:hAnsiTheme="minorEastAsia" w:eastAsiaTheme="minorEastAsia" w:cstheme="minorEastAsia"/>
          <w:b w:val="0"/>
          <w:caps w:val="0"/>
          <w:color w:val="000000" w:themeColor="text1"/>
          <w:sz w:val="24"/>
          <w14:textFill>
            <w14:solidFill>
              <w14:schemeClr w14:val="tx1"/>
            </w14:solidFill>
          </w14:textFill>
        </w:rPr>
        <w:t>均有较大幅度的增长</w:t>
      </w:r>
      <w:r>
        <w:rPr>
          <w:rStyle w:val="21"/>
          <w:rFonts w:hint="eastAsia" w:eastAsiaTheme="minorEastAsia"/>
          <w:b w:val="0"/>
          <w:caps w:val="0"/>
          <w:color w:val="000000" w:themeColor="text1"/>
          <w:sz w:val="24"/>
          <w14:textFill>
            <w14:solidFill>
              <w14:schemeClr w14:val="tx1"/>
            </w14:solidFill>
          </w14:textFill>
        </w:rPr>
        <w:t>，但就业率仍保持在97</w:t>
      </w:r>
      <w:r>
        <w:rPr>
          <w:rStyle w:val="21"/>
          <w:rFonts w:eastAsiaTheme="minorEastAsia"/>
          <w:b w:val="0"/>
          <w:caps w:val="0"/>
          <w:color w:val="000000" w:themeColor="text1"/>
          <w:sz w:val="24"/>
          <w14:textFill>
            <w14:solidFill>
              <w14:schemeClr w14:val="tx1"/>
            </w14:solidFill>
          </w14:textFill>
        </w:rPr>
        <w:t>%以上</w:t>
      </w:r>
      <w:r>
        <w:rPr>
          <w:rStyle w:val="21"/>
          <w:rFonts w:hint="eastAsia" w:eastAsiaTheme="minorEastAsia"/>
          <w:b w:val="0"/>
          <w:caps w:val="0"/>
          <w:color w:val="000000" w:themeColor="text1"/>
          <w:sz w:val="24"/>
          <w14:textFill>
            <w14:solidFill>
              <w14:schemeClr w14:val="tx1"/>
            </w14:solidFill>
          </w14:textFill>
        </w:rPr>
        <w:t>，</w:t>
      </w:r>
      <w:r>
        <w:rPr>
          <w:rStyle w:val="21"/>
          <w:rFonts w:hint="eastAsia" w:asciiTheme="minorEastAsia" w:hAnsiTheme="minorEastAsia" w:eastAsiaTheme="minorEastAsia" w:cstheme="minorEastAsia"/>
          <w:b w:val="0"/>
          <w:caps w:val="0"/>
          <w:color w:val="000000" w:themeColor="text1"/>
          <w:sz w:val="24"/>
          <w14:textFill>
            <w14:solidFill>
              <w14:schemeClr w14:val="tx1"/>
            </w14:solidFill>
          </w14:textFill>
        </w:rPr>
        <w:t>充分表</w:t>
      </w:r>
      <w:r>
        <w:rPr>
          <w:rStyle w:val="21"/>
          <w:rFonts w:eastAsiaTheme="minorEastAsia"/>
          <w:b w:val="0"/>
          <w:caps w:val="0"/>
          <w:color w:val="000000" w:themeColor="text1"/>
          <w:sz w:val="24"/>
          <w14:textFill>
            <w14:solidFill>
              <w14:schemeClr w14:val="tx1"/>
            </w14:solidFill>
          </w14:textFill>
        </w:rPr>
        <w:t>明毕业生就业</w:t>
      </w:r>
      <w:r>
        <w:rPr>
          <w:rStyle w:val="21"/>
          <w:rFonts w:hint="eastAsia" w:eastAsiaTheme="minorEastAsia"/>
          <w:b w:val="0"/>
          <w:caps w:val="0"/>
          <w:color w:val="000000" w:themeColor="text1"/>
          <w:sz w:val="24"/>
          <w14:textFill>
            <w14:solidFill>
              <w14:schemeClr w14:val="tx1"/>
            </w14:solidFill>
          </w14:textFill>
        </w:rPr>
        <w:t>状况良好。</w:t>
      </w:r>
    </w:p>
    <w:tbl>
      <w:tblPr>
        <w:tblStyle w:val="20"/>
        <w:tblW w:w="8296" w:type="dxa"/>
        <w:tblInd w:w="0" w:type="dxa"/>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
      <w:tblGrid>
        <w:gridCol w:w="4148"/>
        <w:gridCol w:w="4148"/>
      </w:tblGrid>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c>
          <w:tcPr>
            <w:tcW w:w="8296" w:type="dxa"/>
            <w:gridSpan w:val="2"/>
            <w:tcBorders>
              <w:top w:val="single" w:color="4F81BD" w:sz="8" w:space="0"/>
              <w:left w:val="single" w:color="4F81BD" w:sz="8" w:space="0"/>
              <w:bottom w:val="single" w:color="FFFFFF" w:sz="4" w:space="0"/>
              <w:right w:val="single" w:color="4F81BD" w:sz="8" w:space="0"/>
              <w:insideH w:val="single" w:sz="4" w:space="0"/>
              <w:insideV w:val="nil"/>
            </w:tcBorders>
            <w:shd w:val="clear" w:color="auto" w:fill="4F81BD"/>
            <w:vAlign w:val="center"/>
          </w:tcPr>
          <w:p>
            <w:pPr>
              <w:widowControl w:val="0"/>
              <w:spacing w:line="240" w:lineRule="auto"/>
              <w:ind w:firstLine="0" w:firstLineChars="0"/>
              <w:jc w:val="center"/>
              <w:rPr>
                <w:rFonts w:ascii="Times New Roman" w:hAnsi="Times New Roman" w:eastAsia="宋体" w:cs="Times New Roman"/>
                <w:b/>
                <w:bCs/>
                <w:color w:val="FFFFFF" w:themeColor="background1"/>
                <w:kern w:val="2"/>
                <w:szCs w:val="24"/>
                <w14:textFill>
                  <w14:solidFill>
                    <w14:schemeClr w14:val="bg1"/>
                  </w14:solidFill>
                </w14:textFill>
              </w:rPr>
            </w:pPr>
            <w:r>
              <w:rPr>
                <w:rFonts w:ascii="Times New Roman" w:hAnsi="Times New Roman" w:cs="Times New Roman"/>
                <w:b/>
                <w:bCs/>
                <w:color w:val="FFFFFF" w:themeColor="background1"/>
                <w:kern w:val="2"/>
                <w:szCs w:val="24"/>
                <w14:textFill>
                  <w14:solidFill>
                    <w14:schemeClr w14:val="bg1"/>
                  </w14:solidFill>
                </w14:textFill>
              </w:rPr>
              <w:t>2013-2015</w:t>
            </w:r>
            <w:r>
              <w:rPr>
                <w:rFonts w:hint="eastAsia"/>
                <w:b/>
                <w:bCs/>
                <w:color w:val="FFFFFF" w:themeColor="background1"/>
                <w:kern w:val="2"/>
                <w:szCs w:val="24"/>
                <w14:textFill>
                  <w14:solidFill>
                    <w14:schemeClr w14:val="bg1"/>
                  </w14:solidFill>
                </w14:textFill>
              </w:rPr>
              <w:t>届毕业生规模</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c>
          <w:tcPr>
            <w:tcW w:w="4148" w:type="dxa"/>
            <w:tcBorders>
              <w:top w:val="single" w:color="FFFFFF" w:sz="4" w:space="0"/>
              <w:left w:val="single" w:color="4F81BD" w:sz="8" w:space="0"/>
              <w:bottom w:val="single" w:color="4F81BD" w:sz="8" w:space="0"/>
              <w:right w:val="single" w:color="4F81BD" w:sz="8" w:space="0"/>
            </w:tcBorders>
            <w:shd w:val="clear" w:color="auto" w:fill="B8CCE4"/>
            <w:vAlign w:val="center"/>
          </w:tcPr>
          <w:p>
            <w:pPr>
              <w:widowControl w:val="0"/>
              <w:spacing w:line="240" w:lineRule="auto"/>
              <w:ind w:firstLine="0" w:firstLineChars="0"/>
              <w:jc w:val="center"/>
              <w:rPr>
                <w:rFonts w:ascii="Times New Roman" w:hAnsi="Times New Roman" w:eastAsia="宋体" w:cs="Times New Roman"/>
                <w:b/>
                <w:bCs/>
                <w:color w:val="000000"/>
                <w:kern w:val="2"/>
                <w:szCs w:val="24"/>
              </w:rPr>
            </w:pPr>
            <w:r>
              <w:rPr>
                <w:rFonts w:hint="eastAsia" w:ascii="Times New Roman" w:hAnsi="Times New Roman" w:eastAsia="宋体" w:cs="Times New Roman"/>
                <w:b/>
                <w:bCs/>
                <w:color w:val="000000"/>
                <w:kern w:val="2"/>
                <w:szCs w:val="24"/>
              </w:rPr>
              <w:t>年份</w:t>
            </w:r>
          </w:p>
        </w:tc>
        <w:tc>
          <w:tcPr>
            <w:tcW w:w="4148" w:type="dxa"/>
            <w:tcBorders>
              <w:top w:val="single" w:color="FFFFFF" w:sz="4" w:space="0"/>
              <w:left w:val="single" w:color="4F81BD" w:sz="8" w:space="0"/>
              <w:bottom w:val="single" w:color="4F81BD" w:sz="8" w:space="0"/>
              <w:right w:val="single" w:color="4F81BD" w:sz="8" w:space="0"/>
            </w:tcBorders>
            <w:shd w:val="clear" w:color="auto" w:fill="B8CCE4"/>
            <w:vAlign w:val="center"/>
          </w:tcPr>
          <w:p>
            <w:pPr>
              <w:widowControl w:val="0"/>
              <w:spacing w:line="240" w:lineRule="auto"/>
              <w:ind w:firstLine="0" w:firstLineChars="0"/>
              <w:jc w:val="center"/>
              <w:rPr>
                <w:rFonts w:ascii="Times New Roman" w:hAnsi="Times New Roman" w:eastAsia="宋体" w:cs="Times New Roman"/>
                <w:b/>
                <w:bCs/>
                <w:color w:val="000000"/>
                <w:kern w:val="2"/>
                <w:szCs w:val="24"/>
              </w:rPr>
            </w:pPr>
            <w:r>
              <w:rPr>
                <w:rFonts w:hint="eastAsia" w:ascii="Times New Roman" w:hAnsi="Times New Roman" w:eastAsia="宋体" w:cs="Times New Roman"/>
                <w:b/>
                <w:bCs/>
                <w:color w:val="000000"/>
                <w:kern w:val="2"/>
                <w:szCs w:val="24"/>
              </w:rPr>
              <w:t>毕业生总数</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c>
          <w:tcPr>
            <w:tcW w:w="4148"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val="0"/>
              <w:spacing w:line="240" w:lineRule="auto"/>
              <w:ind w:firstLine="0" w:firstLineChars="0"/>
              <w:jc w:val="center"/>
              <w:rPr>
                <w:rFonts w:ascii="Times New Roman" w:hAnsi="Times New Roman" w:eastAsia="宋体" w:cs="Times New Roman"/>
                <w:b w:val="0"/>
                <w:bCs/>
                <w:color w:val="000000"/>
                <w:kern w:val="2"/>
                <w:szCs w:val="24"/>
              </w:rPr>
            </w:pPr>
            <w:r>
              <w:rPr>
                <w:rFonts w:hint="eastAsia" w:ascii="Times New Roman" w:hAnsi="Times New Roman" w:eastAsia="宋体" w:cs="Times New Roman"/>
                <w:b w:val="0"/>
                <w:bCs/>
                <w:color w:val="000000"/>
                <w:kern w:val="2"/>
                <w:szCs w:val="24"/>
              </w:rPr>
              <w:t>2014届</w:t>
            </w:r>
          </w:p>
        </w:tc>
        <w:tc>
          <w:tcPr>
            <w:tcW w:w="4148"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val="0"/>
              <w:spacing w:line="240" w:lineRule="auto"/>
              <w:ind w:firstLine="0" w:firstLineChars="0"/>
              <w:jc w:val="center"/>
              <w:rPr>
                <w:rFonts w:ascii="Times New Roman" w:hAnsi="Times New Roman" w:eastAsia="宋体" w:cs="Times New Roman"/>
                <w:b w:val="0"/>
                <w:bCs/>
                <w:color w:val="000000"/>
                <w:kern w:val="2"/>
                <w:szCs w:val="24"/>
              </w:rPr>
            </w:pPr>
            <w:r>
              <w:rPr>
                <w:rFonts w:hint="eastAsia" w:ascii="Times New Roman" w:hAnsi="Times New Roman" w:eastAsia="宋体" w:cs="Times New Roman"/>
                <w:b w:val="0"/>
                <w:bCs/>
                <w:color w:val="000000"/>
                <w:kern w:val="2"/>
                <w:szCs w:val="24"/>
              </w:rPr>
              <w:t>2034</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c>
          <w:tcPr>
            <w:tcW w:w="4148"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val="0"/>
              <w:spacing w:line="240" w:lineRule="auto"/>
              <w:ind w:firstLine="0" w:firstLineChars="0"/>
              <w:jc w:val="center"/>
              <w:rPr>
                <w:rFonts w:ascii="Times New Roman" w:hAnsi="Times New Roman" w:eastAsia="宋体" w:cs="Times New Roman"/>
                <w:b w:val="0"/>
                <w:bCs/>
                <w:color w:val="000000"/>
                <w:kern w:val="2"/>
                <w:szCs w:val="24"/>
              </w:rPr>
            </w:pPr>
            <w:r>
              <w:rPr>
                <w:rFonts w:hint="eastAsia" w:ascii="Times New Roman" w:hAnsi="Times New Roman" w:eastAsia="宋体" w:cs="Times New Roman"/>
                <w:b w:val="0"/>
                <w:bCs/>
                <w:color w:val="000000"/>
                <w:kern w:val="2"/>
                <w:szCs w:val="24"/>
              </w:rPr>
              <w:t>2015届</w:t>
            </w:r>
          </w:p>
        </w:tc>
        <w:tc>
          <w:tcPr>
            <w:tcW w:w="4148"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val="0"/>
              <w:spacing w:line="240" w:lineRule="auto"/>
              <w:ind w:firstLine="0" w:firstLineChars="0"/>
              <w:jc w:val="center"/>
              <w:rPr>
                <w:rFonts w:ascii="Times New Roman" w:hAnsi="Times New Roman" w:eastAsia="宋体" w:cs="Times New Roman"/>
                <w:b w:val="0"/>
                <w:bCs/>
                <w:color w:val="000000"/>
                <w:kern w:val="2"/>
                <w:szCs w:val="24"/>
              </w:rPr>
            </w:pPr>
            <w:r>
              <w:rPr>
                <w:rFonts w:hint="eastAsia" w:ascii="Times New Roman" w:hAnsi="Times New Roman" w:eastAsia="宋体" w:cs="Times New Roman"/>
                <w:b w:val="0"/>
                <w:bCs/>
                <w:color w:val="000000"/>
                <w:kern w:val="2"/>
                <w:szCs w:val="24"/>
              </w:rPr>
              <w:t>2</w:t>
            </w:r>
            <w:r>
              <w:rPr>
                <w:rFonts w:ascii="Times New Roman" w:hAnsi="Times New Roman" w:eastAsia="宋体" w:cs="Times New Roman"/>
                <w:b w:val="0"/>
                <w:bCs/>
                <w:color w:val="000000"/>
                <w:kern w:val="2"/>
                <w:szCs w:val="24"/>
              </w:rPr>
              <w:t>345</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c>
          <w:tcPr>
            <w:tcW w:w="4148"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val="0"/>
              <w:spacing w:line="240" w:lineRule="auto"/>
              <w:ind w:firstLine="0" w:firstLineChars="0"/>
              <w:jc w:val="center"/>
              <w:rPr>
                <w:rFonts w:hint="eastAsia" w:ascii="Times New Roman" w:hAnsi="Times New Roman" w:eastAsia="宋体" w:cs="Times New Roman"/>
                <w:b w:val="0"/>
                <w:bCs/>
                <w:color w:val="000000"/>
                <w:kern w:val="2"/>
                <w:szCs w:val="24"/>
                <w:lang w:val="en-US" w:eastAsia="zh-CN"/>
              </w:rPr>
            </w:pPr>
            <w:r>
              <w:rPr>
                <w:rFonts w:hint="eastAsia" w:ascii="Times New Roman" w:hAnsi="Times New Roman" w:eastAsia="宋体" w:cs="Times New Roman"/>
                <w:b w:val="0"/>
                <w:bCs/>
                <w:color w:val="000000"/>
                <w:kern w:val="2"/>
                <w:szCs w:val="24"/>
                <w:lang w:val="en-US" w:eastAsia="zh-CN"/>
              </w:rPr>
              <w:t>2016届</w:t>
            </w:r>
          </w:p>
        </w:tc>
        <w:tc>
          <w:tcPr>
            <w:tcW w:w="4148"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val="0"/>
              <w:spacing w:line="240" w:lineRule="auto"/>
              <w:ind w:firstLine="0" w:firstLineChars="0"/>
              <w:jc w:val="center"/>
              <w:rPr>
                <w:rFonts w:hint="eastAsia" w:ascii="Times New Roman" w:hAnsi="Times New Roman" w:eastAsia="宋体" w:cs="Times New Roman"/>
                <w:b w:val="0"/>
                <w:bCs/>
                <w:color w:val="000000"/>
                <w:kern w:val="2"/>
                <w:szCs w:val="24"/>
                <w:lang w:val="en-US" w:eastAsia="zh-CN"/>
              </w:rPr>
            </w:pPr>
            <w:r>
              <w:rPr>
                <w:rFonts w:hint="eastAsia" w:ascii="Times New Roman" w:hAnsi="Times New Roman" w:eastAsia="宋体" w:cs="Times New Roman"/>
                <w:b w:val="0"/>
                <w:bCs/>
                <w:color w:val="000000"/>
                <w:kern w:val="2"/>
                <w:szCs w:val="24"/>
                <w:lang w:val="en-US" w:eastAsia="zh-CN"/>
              </w:rPr>
              <w:t>2730</w:t>
            </w:r>
          </w:p>
        </w:tc>
      </w:tr>
    </w:tbl>
    <w:p>
      <w:pPr>
        <w:spacing w:line="288" w:lineRule="auto"/>
        <w:ind w:firstLine="0" w:firstLineChars="0"/>
        <w:rPr>
          <w:rFonts w:ascii="Times New Roman" w:hAnsi="Times New Roman"/>
          <w:caps/>
          <w:sz w:val="18"/>
        </w:rPr>
      </w:pPr>
      <w:r>
        <w:rPr>
          <w:rFonts w:hint="eastAsia" w:ascii="Times New Roman" w:hAnsi="Times New Roman"/>
          <w:caps/>
          <w:sz w:val="18"/>
        </w:rPr>
        <w:t>数据来源</w:t>
      </w:r>
      <w:r>
        <w:rPr>
          <w:rFonts w:ascii="Times New Roman" w:hAnsi="Times New Roman"/>
          <w:caps/>
          <w:sz w:val="18"/>
        </w:rPr>
        <w:t>：</w:t>
      </w:r>
      <w:r>
        <w:rPr>
          <w:rFonts w:hint="eastAsia" w:ascii="Times New Roman" w:hAnsi="Times New Roman"/>
          <w:caps/>
          <w:sz w:val="18"/>
        </w:rPr>
        <w:t>重庆市大学中专毕业生就业数据库。</w:t>
      </w:r>
    </w:p>
    <w:p>
      <w:pPr>
        <w:spacing w:line="288" w:lineRule="auto"/>
        <w:ind w:firstLine="0" w:firstLineChars="0"/>
        <w:jc w:val="center"/>
        <w:rPr>
          <w:rFonts w:ascii="Times New Roman" w:hAnsi="Times New Roman"/>
          <w:caps/>
          <w:sz w:val="18"/>
        </w:rPr>
      </w:pPr>
      <w:r>
        <w:drawing>
          <wp:inline distT="0" distB="0" distL="114300" distR="114300">
            <wp:extent cx="3641725" cy="2610485"/>
            <wp:effectExtent l="4445" t="4445" r="11430" b="1397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spacing w:line="288" w:lineRule="auto"/>
        <w:ind w:firstLine="0" w:firstLineChars="0"/>
        <w:rPr>
          <w:rFonts w:ascii="Times New Roman" w:hAnsi="Times New Roman"/>
          <w:caps/>
          <w:sz w:val="18"/>
        </w:rPr>
      </w:pPr>
      <w:r>
        <w:rPr>
          <w:rFonts w:hint="eastAsia" w:ascii="Times New Roman" w:hAnsi="Times New Roman"/>
          <w:caps/>
          <w:sz w:val="18"/>
        </w:rPr>
        <w:t>数据来源</w:t>
      </w:r>
      <w:r>
        <w:rPr>
          <w:rFonts w:ascii="Times New Roman" w:hAnsi="Times New Roman"/>
          <w:caps/>
          <w:sz w:val="18"/>
        </w:rPr>
        <w:t>：</w:t>
      </w:r>
      <w:r>
        <w:rPr>
          <w:rFonts w:hint="eastAsia" w:ascii="Times New Roman" w:hAnsi="Times New Roman"/>
          <w:caps/>
          <w:sz w:val="18"/>
        </w:rPr>
        <w:t>重庆市大学中专毕业生就业数据库。</w:t>
      </w:r>
    </w:p>
    <w:p>
      <w:pPr>
        <w:spacing w:line="288" w:lineRule="auto"/>
        <w:ind w:firstLine="0" w:firstLineChars="0"/>
        <w:rPr>
          <w:rFonts w:ascii="Times New Roman" w:hAnsi="Times New Roman"/>
          <w:caps/>
          <w:sz w:val="18"/>
        </w:rPr>
      </w:pPr>
    </w:p>
    <w:p>
      <w:pPr>
        <w:spacing w:line="288" w:lineRule="auto"/>
        <w:ind w:firstLine="0" w:firstLineChars="0"/>
        <w:rPr>
          <w:rFonts w:ascii="Times New Roman" w:hAnsi="Times New Roman"/>
          <w:caps/>
          <w:sz w:val="18"/>
        </w:rPr>
      </w:pPr>
    </w:p>
    <w:p>
      <w:pPr>
        <w:spacing w:line="288" w:lineRule="auto"/>
        <w:ind w:firstLine="0" w:firstLineChars="0"/>
        <w:rPr>
          <w:rFonts w:ascii="Times New Roman" w:hAnsi="Times New Roman"/>
          <w:caps/>
          <w:sz w:val="18"/>
        </w:rPr>
      </w:pPr>
    </w:p>
    <w:p>
      <w:pPr>
        <w:spacing w:line="288" w:lineRule="auto"/>
        <w:ind w:firstLine="0" w:firstLineChars="0"/>
        <w:rPr>
          <w:rFonts w:ascii="Times New Roman" w:hAnsi="Times New Roman"/>
          <w:caps/>
          <w:sz w:val="18"/>
        </w:rPr>
      </w:pPr>
    </w:p>
    <w:p>
      <w:pPr>
        <w:spacing w:line="288" w:lineRule="auto"/>
        <w:ind w:firstLine="0" w:firstLineChars="0"/>
        <w:rPr>
          <w:rFonts w:ascii="Times New Roman" w:hAnsi="Times New Roman"/>
          <w:caps/>
          <w:sz w:val="18"/>
        </w:rPr>
      </w:pPr>
    </w:p>
    <w:p>
      <w:pPr>
        <w:spacing w:line="288" w:lineRule="auto"/>
        <w:ind w:firstLine="0" w:firstLineChars="0"/>
        <w:rPr>
          <w:rFonts w:ascii="Times New Roman" w:hAnsi="Times New Roman"/>
          <w:caps/>
          <w:sz w:val="18"/>
        </w:rPr>
      </w:pPr>
    </w:p>
    <w:p>
      <w:pPr>
        <w:pStyle w:val="3"/>
      </w:pPr>
      <w:bookmarkStart w:id="58" w:name="_Toc439953130"/>
      <w:r>
        <w:rPr>
          <w:rFonts w:hint="eastAsia"/>
        </w:rPr>
        <w:t>二、本市</w:t>
      </w:r>
      <w:r>
        <w:t>就业为主</w:t>
      </w:r>
      <w:r>
        <w:rPr>
          <w:rFonts w:hint="eastAsia"/>
        </w:rPr>
        <w:t>，</w:t>
      </w:r>
      <w:r>
        <w:t>服务地方经济发展</w:t>
      </w:r>
      <w:bookmarkEnd w:id="58"/>
    </w:p>
    <w:p>
      <w:pPr>
        <w:pStyle w:val="16"/>
        <w:spacing w:before="156" w:after="156"/>
      </w:pPr>
      <w:r>
        <w:rPr>
          <w:rFonts w:hint="eastAsia" w:asciiTheme="minorEastAsia" w:hAnsiTheme="minorEastAsia" w:eastAsiaTheme="minorEastAsia" w:cstheme="minorEastAsia"/>
        </w:rPr>
        <w:t>我校201</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届和201</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届毕业生流向地区以重庆市为主，其中201</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届重庆市就业比例为</w:t>
      </w:r>
      <w:r>
        <w:rPr>
          <w:rFonts w:hint="eastAsia" w:asciiTheme="minorEastAsia" w:hAnsiTheme="minorEastAsia" w:eastAsiaTheme="minorEastAsia" w:cstheme="minorEastAsia"/>
          <w:lang w:val="en-US" w:eastAsia="zh-CN"/>
        </w:rPr>
        <w:t>65.63</w:t>
      </w:r>
      <w:r>
        <w:rPr>
          <w:rFonts w:hint="eastAsia" w:asciiTheme="minorEastAsia" w:hAnsiTheme="minorEastAsia" w:eastAsiaTheme="minorEastAsia" w:cstheme="minorEastAsia"/>
        </w:rPr>
        <w:t>%，201</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届的比例为</w:t>
      </w:r>
      <w:r>
        <w:rPr>
          <w:rFonts w:hint="eastAsia" w:asciiTheme="minorEastAsia" w:hAnsiTheme="minorEastAsia" w:eastAsiaTheme="minorEastAsia" w:cstheme="minorEastAsia"/>
          <w:lang w:val="en-US" w:eastAsia="zh-CN"/>
        </w:rPr>
        <w:t>61.84</w:t>
      </w:r>
      <w:r>
        <w:rPr>
          <w:rFonts w:hint="eastAsia" w:asciiTheme="minorEastAsia" w:hAnsiTheme="minorEastAsia" w:eastAsiaTheme="minorEastAsia" w:cstheme="minorEastAsia"/>
        </w:rPr>
        <w:t>%，服务地区经济发展仍然是主流趋势。与此同时，201</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届毕业生重庆市外就业占比为</w:t>
      </w:r>
      <w:r>
        <w:rPr>
          <w:rFonts w:hint="eastAsia" w:cstheme="minorEastAsia"/>
          <w:lang w:val="en-US" w:eastAsia="zh-CN"/>
        </w:rPr>
        <w:t>32.32</w:t>
      </w:r>
      <w:r>
        <w:rPr>
          <w:rFonts w:hint="eastAsia" w:asciiTheme="minorEastAsia" w:hAnsiTheme="minorEastAsia" w:eastAsiaTheme="minorEastAsia" w:cstheme="minorEastAsia"/>
        </w:rPr>
        <w:t>%，201</w:t>
      </w:r>
      <w:r>
        <w:rPr>
          <w:rFonts w:hint="eastAsia" w:cstheme="minorEastAsia"/>
          <w:lang w:val="en-US" w:eastAsia="zh-CN"/>
        </w:rPr>
        <w:t>6</w:t>
      </w:r>
      <w:r>
        <w:rPr>
          <w:rFonts w:hint="eastAsia" w:asciiTheme="minorEastAsia" w:hAnsiTheme="minorEastAsia" w:eastAsiaTheme="minorEastAsia" w:cstheme="minorEastAsia"/>
        </w:rPr>
        <w:t>届</w:t>
      </w:r>
      <w:r>
        <w:t>占比为</w:t>
      </w:r>
      <w:r>
        <w:rPr>
          <w:rFonts w:hint="eastAsia"/>
          <w:lang w:val="en-US" w:eastAsia="zh-CN"/>
        </w:rPr>
        <w:t>36.65</w:t>
      </w:r>
      <w:r>
        <w:t>%，毕业生就业区域</w:t>
      </w:r>
      <w:r>
        <w:rPr>
          <w:rFonts w:hint="eastAsia"/>
        </w:rPr>
        <w:t>有</w:t>
      </w:r>
      <w:r>
        <w:t>向</w:t>
      </w:r>
      <w:r>
        <w:rPr>
          <w:rFonts w:hint="eastAsia"/>
        </w:rPr>
        <w:t>重庆市</w:t>
      </w:r>
      <w:r>
        <w:t>外扩展</w:t>
      </w:r>
      <w:r>
        <w:rPr>
          <w:rFonts w:hint="eastAsia"/>
        </w:rPr>
        <w:t>的</w:t>
      </w:r>
      <w:r>
        <w:t>趋势。</w:t>
      </w:r>
      <w:r>
        <w:rPr>
          <w:rFonts w:hint="eastAsia"/>
        </w:rPr>
        <w:t>201</w:t>
      </w:r>
      <w:r>
        <w:rPr>
          <w:rFonts w:hint="eastAsia"/>
          <w:lang w:val="en-US" w:eastAsia="zh-CN"/>
        </w:rPr>
        <w:t>5</w:t>
      </w:r>
      <w:r>
        <w:rPr>
          <w:rFonts w:hint="eastAsia"/>
        </w:rPr>
        <w:t>届</w:t>
      </w:r>
      <w:r>
        <w:t>毕业生</w:t>
      </w:r>
      <w:r>
        <w:rPr>
          <w:rFonts w:hint="eastAsia"/>
        </w:rPr>
        <w:t>重庆</w:t>
      </w:r>
      <w:r>
        <w:t>市外就业的前两大省份</w:t>
      </w:r>
      <w:r>
        <w:rPr>
          <w:rFonts w:hint="eastAsia"/>
          <w:lang w:eastAsia="zh-CN"/>
        </w:rPr>
        <w:t>为贵州省</w:t>
      </w:r>
      <w:r>
        <w:t>和四川省，</w:t>
      </w:r>
      <w:r>
        <w:rPr>
          <w:rFonts w:hint="eastAsia"/>
        </w:rPr>
        <w:t>合计占比</w:t>
      </w:r>
      <w:r>
        <w:rPr>
          <w:rFonts w:hint="eastAsia"/>
          <w:lang w:val="en-US" w:eastAsia="zh-CN"/>
        </w:rPr>
        <w:t>15.05</w:t>
      </w:r>
      <w:r>
        <w:t>%；</w:t>
      </w:r>
      <w:r>
        <w:rPr>
          <w:rFonts w:hint="eastAsia"/>
        </w:rPr>
        <w:t>201</w:t>
      </w:r>
      <w:r>
        <w:rPr>
          <w:rFonts w:hint="eastAsia"/>
          <w:lang w:val="en-US" w:eastAsia="zh-CN"/>
        </w:rPr>
        <w:t>6</w:t>
      </w:r>
      <w:r>
        <w:rPr>
          <w:rFonts w:hint="eastAsia"/>
        </w:rPr>
        <w:t>届重庆</w:t>
      </w:r>
      <w:r>
        <w:t>市外就业的毕业生</w:t>
      </w:r>
      <w:r>
        <w:rPr>
          <w:rFonts w:hint="eastAsia"/>
        </w:rPr>
        <w:t>主要流向的</w:t>
      </w:r>
      <w:r>
        <w:t>两大省份为四川省</w:t>
      </w:r>
      <w:r>
        <w:rPr>
          <w:rFonts w:hint="eastAsia"/>
        </w:rPr>
        <w:t>和</w:t>
      </w:r>
      <w:r>
        <w:t>贵州</w:t>
      </w:r>
      <w:r>
        <w:rPr>
          <w:rFonts w:hint="eastAsia"/>
          <w:lang w:eastAsia="zh-CN"/>
        </w:rPr>
        <w:t>省</w:t>
      </w:r>
      <w:r>
        <w:rPr>
          <w:rFonts w:hint="eastAsia"/>
        </w:rPr>
        <w:t>，合计</w:t>
      </w:r>
      <w:r>
        <w:t>占比</w:t>
      </w:r>
      <w:r>
        <w:rPr>
          <w:rFonts w:hint="eastAsia"/>
        </w:rPr>
        <w:t>15.</w:t>
      </w:r>
      <w:r>
        <w:rPr>
          <w:rFonts w:hint="eastAsia"/>
          <w:lang w:val="en-US" w:eastAsia="zh-CN"/>
        </w:rPr>
        <w:t>43</w:t>
      </w:r>
      <w:r>
        <w:t>%</w:t>
      </w:r>
      <w:r>
        <w:rPr>
          <w:rFonts w:hint="eastAsia"/>
        </w:rPr>
        <w:t>。</w:t>
      </w:r>
      <w:r>
        <w:t>说明</w:t>
      </w:r>
      <w:r>
        <w:rPr>
          <w:rFonts w:hint="eastAsia"/>
        </w:rPr>
        <w:t>除了</w:t>
      </w:r>
      <w:r>
        <w:t>本</w:t>
      </w:r>
      <w:r>
        <w:rPr>
          <w:rFonts w:hint="eastAsia"/>
        </w:rPr>
        <w:t>市</w:t>
      </w:r>
      <w:r>
        <w:t>，重庆</w:t>
      </w:r>
      <w:r>
        <w:rPr>
          <w:rFonts w:hint="eastAsia"/>
        </w:rPr>
        <w:t>周边</w:t>
      </w:r>
      <w:r>
        <w:t>的省份如四川</w:t>
      </w:r>
      <w:r>
        <w:rPr>
          <w:rFonts w:hint="eastAsia"/>
        </w:rPr>
        <w:t>、</w:t>
      </w:r>
      <w:r>
        <w:t>贵州和陕西等地也是毕业生重点择业地。</w:t>
      </w:r>
    </w:p>
    <w:tbl>
      <w:tblPr>
        <w:tblStyle w:val="20"/>
        <w:tblW w:w="7137" w:type="dxa"/>
        <w:jc w:val="center"/>
        <w:tblInd w:w="0" w:type="dxa"/>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
      <w:tblGrid>
        <w:gridCol w:w="1582"/>
        <w:gridCol w:w="1388"/>
        <w:gridCol w:w="1389"/>
        <w:gridCol w:w="1388"/>
        <w:gridCol w:w="1389"/>
        <w:gridCol w:w="1"/>
      </w:tblGrid>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jc w:val="center"/>
        </w:trPr>
        <w:tc>
          <w:tcPr>
            <w:tcW w:w="7137" w:type="dxa"/>
            <w:gridSpan w:val="6"/>
            <w:tcBorders>
              <w:top w:val="single" w:color="5B9BD5" w:themeColor="accent1" w:sz="4" w:space="0"/>
              <w:left w:val="single" w:color="5B9BD5" w:themeColor="accent1" w:sz="4" w:space="0"/>
              <w:bottom w:val="single" w:color="5B9BD5" w:themeColor="accent1" w:sz="4" w:space="0"/>
              <w:right w:val="single" w:color="5B9BD5" w:themeColor="accent1" w:sz="4" w:space="0"/>
              <w:insideH w:val="single" w:sz="4" w:space="0"/>
              <w:insideV w:val="nil"/>
            </w:tcBorders>
            <w:shd w:val="clear" w:color="auto" w:fill="5B9BD5" w:themeFill="accent1"/>
            <w:vAlign w:val="center"/>
          </w:tcPr>
          <w:p>
            <w:pPr>
              <w:spacing w:line="240" w:lineRule="auto"/>
              <w:ind w:firstLine="0" w:firstLineChars="0"/>
              <w:jc w:val="center"/>
              <w:rPr>
                <w:rFonts w:ascii="宋体" w:hAnsi="宋体" w:eastAsia="宋体" w:cs="宋体"/>
                <w:b/>
                <w:bCs/>
                <w:color w:val="000000"/>
                <w:sz w:val="22"/>
                <w:szCs w:val="22"/>
              </w:rPr>
            </w:pPr>
            <w:r>
              <w:rPr>
                <w:rFonts w:ascii="Times New Roman" w:hAnsi="Times New Roman" w:eastAsia="宋体" w:cs="Times New Roman"/>
                <w:b/>
                <w:bCs/>
                <w:color w:val="FFFFFF" w:themeColor="background1"/>
                <w:sz w:val="22"/>
                <w:szCs w:val="22"/>
                <w14:textFill>
                  <w14:solidFill>
                    <w14:schemeClr w14:val="bg1"/>
                  </w14:solidFill>
                </w14:textFill>
              </w:rPr>
              <w:t>2014-2015</w:t>
            </w:r>
            <w:r>
              <w:rPr>
                <w:rFonts w:hint="eastAsia" w:ascii="宋体" w:hAnsi="宋体" w:eastAsia="宋体" w:cs="宋体"/>
                <w:b/>
                <w:bCs/>
                <w:color w:val="FFFFFF" w:themeColor="background1"/>
                <w:sz w:val="22"/>
                <w:szCs w:val="22"/>
                <w14:textFill>
                  <w14:solidFill>
                    <w14:schemeClr w14:val="bg1"/>
                  </w14:solidFill>
                </w14:textFill>
              </w:rPr>
              <w:t>届毕业生主要流向地区</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gridAfter w:val="1"/>
          <w:wAfter w:w="1" w:type="dxa"/>
          <w:trHeight w:val="317" w:hRule="atLeast"/>
          <w:jc w:val="center"/>
        </w:trPr>
        <w:tc>
          <w:tcPr>
            <w:tcW w:w="1582" w:type="dxa"/>
            <w:vMerge w:val="restart"/>
            <w:shd w:val="clear" w:color="auto" w:fill="DEEAF6" w:themeFill="accent1" w:themeFillTint="33"/>
            <w:vAlign w:val="center"/>
          </w:tcPr>
          <w:p>
            <w:pPr>
              <w:spacing w:line="240" w:lineRule="auto"/>
              <w:ind w:firstLine="0" w:firstLineChars="0"/>
              <w:jc w:val="center"/>
              <w:rPr>
                <w:rFonts w:ascii="宋体" w:hAnsi="宋体" w:eastAsia="宋体" w:cs="宋体"/>
                <w:b/>
                <w:bCs/>
                <w:color w:val="000000"/>
                <w:sz w:val="22"/>
                <w:szCs w:val="22"/>
              </w:rPr>
            </w:pPr>
            <w:r>
              <w:rPr>
                <w:rFonts w:hint="eastAsia" w:ascii="宋体" w:hAnsi="宋体" w:eastAsia="宋体" w:cs="宋体"/>
                <w:b/>
                <w:bCs/>
                <w:color w:val="000000"/>
                <w:sz w:val="22"/>
                <w:szCs w:val="22"/>
              </w:rPr>
              <w:t>地区名称</w:t>
            </w:r>
          </w:p>
        </w:tc>
        <w:tc>
          <w:tcPr>
            <w:tcW w:w="2777" w:type="dxa"/>
            <w:gridSpan w:val="2"/>
            <w:shd w:val="clear" w:color="auto" w:fill="DEEAF6" w:themeFill="accent1" w:themeFillTint="33"/>
            <w:vAlign w:val="center"/>
          </w:tcPr>
          <w:p>
            <w:pPr>
              <w:spacing w:line="240" w:lineRule="auto"/>
              <w:ind w:firstLine="0" w:firstLineChars="0"/>
              <w:jc w:val="center"/>
              <w:rPr>
                <w:rFonts w:hint="eastAsia" w:ascii="Times New Roman" w:hAnsi="Times New Roman" w:eastAsia="宋体" w:cs="Times New Roman"/>
                <w:b/>
                <w:color w:val="000000"/>
                <w:sz w:val="22"/>
                <w:szCs w:val="22"/>
                <w:lang w:val="en-US" w:eastAsia="zh-CN"/>
              </w:rPr>
            </w:pPr>
            <w:r>
              <w:rPr>
                <w:rFonts w:hint="eastAsia" w:ascii="Times New Roman" w:hAnsi="Times New Roman" w:eastAsia="宋体" w:cs="Times New Roman"/>
                <w:b/>
                <w:color w:val="000000"/>
                <w:sz w:val="22"/>
                <w:szCs w:val="22"/>
                <w:lang w:val="en-US" w:eastAsia="zh-CN"/>
              </w:rPr>
              <w:t>2015</w:t>
            </w:r>
          </w:p>
        </w:tc>
        <w:tc>
          <w:tcPr>
            <w:tcW w:w="2777" w:type="dxa"/>
            <w:gridSpan w:val="2"/>
            <w:shd w:val="clear" w:color="auto" w:fill="DEEAF6" w:themeFill="accent1" w:themeFillTint="33"/>
            <w:vAlign w:val="center"/>
          </w:tcPr>
          <w:p>
            <w:pPr>
              <w:spacing w:line="240" w:lineRule="auto"/>
              <w:ind w:firstLine="0" w:firstLineChars="0"/>
              <w:jc w:val="center"/>
              <w:rPr>
                <w:rFonts w:ascii="Times New Roman" w:hAnsi="Times New Roman" w:eastAsia="宋体" w:cs="Times New Roman"/>
                <w:b/>
                <w:color w:val="000000"/>
                <w:sz w:val="22"/>
                <w:szCs w:val="22"/>
              </w:rPr>
            </w:pPr>
            <w:r>
              <w:rPr>
                <w:rFonts w:ascii="Times New Roman" w:hAnsi="Times New Roman" w:eastAsia="宋体" w:cs="Times New Roman"/>
                <w:b/>
                <w:color w:val="000000"/>
                <w:sz w:val="22"/>
                <w:szCs w:val="22"/>
              </w:rPr>
              <w:t>201</w:t>
            </w:r>
            <w:r>
              <w:rPr>
                <w:rFonts w:hint="eastAsia" w:ascii="Times New Roman" w:hAnsi="Times New Roman" w:eastAsia="宋体" w:cs="Times New Roman"/>
                <w:b/>
                <w:color w:val="000000"/>
                <w:sz w:val="22"/>
                <w:szCs w:val="22"/>
                <w:lang w:val="en-US" w:eastAsia="zh-CN"/>
              </w:rPr>
              <w:t>6</w:t>
            </w:r>
            <w:r>
              <w:rPr>
                <w:rFonts w:hint="eastAsia" w:ascii="Times New Roman" w:hAnsi="Times New Roman" w:eastAsia="宋体" w:cs="Times New Roman"/>
                <w:b/>
                <w:color w:val="000000"/>
                <w:sz w:val="22"/>
                <w:szCs w:val="22"/>
              </w:rPr>
              <w:t>届</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gridAfter w:val="1"/>
          <w:wAfter w:w="1" w:type="dxa"/>
          <w:trHeight w:val="288" w:hRule="atLeast"/>
          <w:jc w:val="center"/>
        </w:trPr>
        <w:tc>
          <w:tcPr>
            <w:tcW w:w="1582" w:type="dxa"/>
            <w:vMerge w:val="continue"/>
            <w:vAlign w:val="center"/>
          </w:tcPr>
          <w:p>
            <w:pPr>
              <w:spacing w:line="240" w:lineRule="auto"/>
              <w:ind w:firstLine="0" w:firstLineChars="0"/>
              <w:jc w:val="center"/>
              <w:rPr>
                <w:rFonts w:ascii="宋体" w:hAnsi="宋体" w:eastAsia="宋体" w:cs="宋体"/>
                <w:b/>
                <w:bCs/>
                <w:color w:val="000000"/>
                <w:sz w:val="22"/>
                <w:szCs w:val="22"/>
              </w:rPr>
            </w:pPr>
          </w:p>
        </w:tc>
        <w:tc>
          <w:tcPr>
            <w:tcW w:w="1388" w:type="dxa"/>
            <w:vAlign w:val="center"/>
          </w:tcPr>
          <w:p>
            <w:pPr>
              <w:spacing w:line="240" w:lineRule="auto"/>
              <w:ind w:firstLine="0" w:firstLineChars="0"/>
              <w:jc w:val="center"/>
              <w:rPr>
                <w:rFonts w:ascii="宋体" w:hAnsi="宋体" w:eastAsia="宋体" w:cs="宋体"/>
                <w:b/>
                <w:color w:val="000000"/>
                <w:sz w:val="22"/>
                <w:szCs w:val="22"/>
              </w:rPr>
            </w:pPr>
            <w:r>
              <w:rPr>
                <w:rFonts w:hint="eastAsia" w:ascii="宋体" w:hAnsi="宋体" w:eastAsia="宋体" w:cs="宋体"/>
                <w:b/>
                <w:color w:val="000000"/>
                <w:sz w:val="22"/>
                <w:szCs w:val="22"/>
              </w:rPr>
              <w:t>人数</w:t>
            </w:r>
          </w:p>
        </w:tc>
        <w:tc>
          <w:tcPr>
            <w:tcW w:w="1389" w:type="dxa"/>
            <w:vAlign w:val="center"/>
          </w:tcPr>
          <w:p>
            <w:pPr>
              <w:spacing w:line="240" w:lineRule="auto"/>
              <w:ind w:firstLine="0" w:firstLineChars="0"/>
              <w:jc w:val="center"/>
              <w:rPr>
                <w:rFonts w:ascii="宋体" w:hAnsi="宋体" w:eastAsia="宋体" w:cs="宋体"/>
                <w:b/>
                <w:color w:val="000000"/>
                <w:sz w:val="22"/>
                <w:szCs w:val="22"/>
              </w:rPr>
            </w:pPr>
            <w:r>
              <w:rPr>
                <w:rFonts w:hint="eastAsia" w:ascii="宋体" w:hAnsi="宋体" w:eastAsia="宋体" w:cs="宋体"/>
                <w:b/>
                <w:color w:val="000000"/>
                <w:sz w:val="22"/>
                <w:szCs w:val="22"/>
              </w:rPr>
              <w:t>比例</w:t>
            </w:r>
          </w:p>
        </w:tc>
        <w:tc>
          <w:tcPr>
            <w:tcW w:w="1388" w:type="dxa"/>
            <w:vAlign w:val="center"/>
          </w:tcPr>
          <w:p>
            <w:pPr>
              <w:spacing w:line="240" w:lineRule="auto"/>
              <w:ind w:firstLine="0" w:firstLineChars="0"/>
              <w:jc w:val="center"/>
              <w:rPr>
                <w:rFonts w:ascii="宋体" w:hAnsi="宋体" w:eastAsia="宋体" w:cs="宋体"/>
                <w:b/>
                <w:color w:val="000000"/>
                <w:sz w:val="22"/>
                <w:szCs w:val="22"/>
              </w:rPr>
            </w:pPr>
            <w:r>
              <w:rPr>
                <w:rFonts w:hint="eastAsia" w:ascii="宋体" w:hAnsi="宋体" w:eastAsia="宋体" w:cs="宋体"/>
                <w:b/>
                <w:color w:val="000000"/>
                <w:sz w:val="22"/>
                <w:szCs w:val="22"/>
              </w:rPr>
              <w:t>人数</w:t>
            </w:r>
          </w:p>
        </w:tc>
        <w:tc>
          <w:tcPr>
            <w:tcW w:w="1389" w:type="dxa"/>
            <w:vAlign w:val="center"/>
          </w:tcPr>
          <w:p>
            <w:pPr>
              <w:spacing w:line="240" w:lineRule="auto"/>
              <w:ind w:firstLine="0" w:firstLineChars="0"/>
              <w:jc w:val="center"/>
              <w:rPr>
                <w:rFonts w:ascii="宋体" w:hAnsi="宋体" w:eastAsia="宋体" w:cs="宋体"/>
                <w:b/>
                <w:color w:val="000000"/>
                <w:sz w:val="22"/>
                <w:szCs w:val="22"/>
              </w:rPr>
            </w:pPr>
            <w:r>
              <w:rPr>
                <w:rFonts w:hint="eastAsia" w:ascii="宋体" w:hAnsi="宋体" w:eastAsia="宋体" w:cs="宋体"/>
                <w:b/>
                <w:color w:val="000000"/>
                <w:sz w:val="22"/>
                <w:szCs w:val="22"/>
              </w:rPr>
              <w:t>比例</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gridAfter w:val="1"/>
          <w:wAfter w:w="1" w:type="dxa"/>
          <w:trHeight w:val="288" w:hRule="atLeast"/>
          <w:jc w:val="center"/>
        </w:trPr>
        <w:tc>
          <w:tcPr>
            <w:tcW w:w="1582"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重庆市</w:t>
            </w:r>
          </w:p>
        </w:tc>
        <w:tc>
          <w:tcPr>
            <w:tcW w:w="1388" w:type="dxa"/>
            <w:shd w:val="clear" w:color="auto" w:fill="DEEAF6" w:themeFill="accent1" w:themeFillTint="33"/>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1495</w:t>
            </w:r>
          </w:p>
        </w:tc>
        <w:tc>
          <w:tcPr>
            <w:tcW w:w="1389" w:type="dxa"/>
            <w:shd w:val="clear" w:color="auto" w:fill="DEEAF6" w:themeFill="accent1" w:themeFillTint="33"/>
            <w:vAlign w:val="center"/>
          </w:tcPr>
          <w:p>
            <w:pPr>
              <w:spacing w:line="240" w:lineRule="auto"/>
              <w:ind w:firstLine="0" w:firstLineChars="0"/>
              <w:jc w:val="center"/>
              <w:rPr>
                <w:rFonts w:ascii="Times New Roman" w:hAnsi="Times New Roman" w:eastAsia="宋体" w:cs="Times New Roman"/>
                <w:color w:val="000000"/>
                <w:sz w:val="22"/>
                <w:szCs w:val="22"/>
              </w:rPr>
            </w:pPr>
            <w:r>
              <w:rPr>
                <w:rFonts w:hint="eastAsia" w:ascii="Times New Roman" w:hAnsi="Times New Roman" w:cs="Times New Roman"/>
                <w:color w:val="000000"/>
                <w:sz w:val="22"/>
                <w:szCs w:val="22"/>
                <w:lang w:val="en-US" w:eastAsia="zh-CN"/>
              </w:rPr>
              <w:t>65.63</w:t>
            </w:r>
            <w:r>
              <w:rPr>
                <w:rFonts w:ascii="Times New Roman" w:hAnsi="Times New Roman" w:cs="Times New Roman"/>
                <w:color w:val="000000"/>
                <w:sz w:val="22"/>
                <w:szCs w:val="22"/>
              </w:rPr>
              <w:t>%</w:t>
            </w:r>
          </w:p>
        </w:tc>
        <w:tc>
          <w:tcPr>
            <w:tcW w:w="1388" w:type="dxa"/>
            <w:shd w:val="clear" w:color="auto" w:fill="DEEAF6" w:themeFill="accent1" w:themeFillTint="33"/>
            <w:vAlign w:val="center"/>
          </w:tcPr>
          <w:p>
            <w:pPr>
              <w:spacing w:line="240" w:lineRule="auto"/>
              <w:ind w:firstLine="0" w:firstLineChars="0"/>
              <w:jc w:val="center"/>
              <w:rPr>
                <w:rFonts w:hint="eastAsia" w:ascii="Times New Roman" w:hAnsi="Times New Roman" w:cs="Times New Roman" w:eastAsiaTheme="minorEastAsia"/>
                <w:color w:val="000000"/>
                <w:sz w:val="22"/>
                <w:szCs w:val="22"/>
                <w:lang w:eastAsia="zh-CN"/>
              </w:rPr>
            </w:pPr>
            <w:r>
              <w:rPr>
                <w:rFonts w:hint="eastAsia" w:ascii="Times New Roman" w:hAnsi="Times New Roman" w:eastAsia="宋体" w:cs="Times New Roman"/>
                <w:color w:val="000000"/>
                <w:sz w:val="22"/>
                <w:szCs w:val="22"/>
                <w:lang w:val="en-US" w:eastAsia="zh-CN"/>
              </w:rPr>
              <w:t>1663</w:t>
            </w:r>
          </w:p>
        </w:tc>
        <w:tc>
          <w:tcPr>
            <w:tcW w:w="1389" w:type="dxa"/>
            <w:shd w:val="clear" w:color="auto" w:fill="DEEAF6" w:themeFill="accent1" w:themeFillTint="33"/>
            <w:vAlign w:val="center"/>
          </w:tcPr>
          <w:p>
            <w:pPr>
              <w:spacing w:line="240" w:lineRule="auto"/>
              <w:ind w:firstLine="0" w:firstLineChars="0"/>
              <w:jc w:val="center"/>
              <w:rPr>
                <w:rFonts w:ascii="Times New Roman" w:hAnsi="Times New Roman" w:cs="Times New Roman"/>
                <w:color w:val="000000"/>
                <w:sz w:val="22"/>
                <w:szCs w:val="22"/>
              </w:rPr>
            </w:pPr>
            <w:r>
              <w:rPr>
                <w:rFonts w:hint="eastAsia" w:ascii="Times New Roman" w:hAnsi="Times New Roman" w:cs="Times New Roman"/>
                <w:color w:val="000000"/>
                <w:sz w:val="22"/>
                <w:szCs w:val="22"/>
                <w:lang w:val="en-US" w:eastAsia="zh-CN"/>
              </w:rPr>
              <w:t>61.84</w:t>
            </w:r>
            <w:r>
              <w:rPr>
                <w:rFonts w:ascii="Times New Roman" w:hAnsi="Times New Roman" w:cs="Times New Roman"/>
                <w:color w:val="000000"/>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gridAfter w:val="1"/>
          <w:wAfter w:w="1" w:type="dxa"/>
          <w:trHeight w:val="288" w:hRule="atLeast"/>
          <w:jc w:val="center"/>
        </w:trPr>
        <w:tc>
          <w:tcPr>
            <w:tcW w:w="1582" w:type="dxa"/>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陕西省</w:t>
            </w:r>
          </w:p>
        </w:tc>
        <w:tc>
          <w:tcPr>
            <w:tcW w:w="1388" w:type="dxa"/>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43</w:t>
            </w:r>
          </w:p>
        </w:tc>
        <w:tc>
          <w:tcPr>
            <w:tcW w:w="1389" w:type="dxa"/>
            <w:vAlign w:val="center"/>
          </w:tcPr>
          <w:p>
            <w:pPr>
              <w:spacing w:line="240" w:lineRule="auto"/>
              <w:ind w:firstLine="0" w:firstLineChars="0"/>
              <w:jc w:val="center"/>
              <w:rPr>
                <w:rFonts w:ascii="Times New Roman" w:hAnsi="Times New Roman" w:eastAsia="宋体" w:cs="Times New Roman"/>
                <w:color w:val="000000"/>
                <w:sz w:val="22"/>
                <w:szCs w:val="22"/>
              </w:rPr>
            </w:pPr>
            <w:r>
              <w:rPr>
                <w:rFonts w:hint="eastAsia" w:ascii="Times New Roman" w:hAnsi="Times New Roman" w:cs="Times New Roman"/>
                <w:color w:val="000000"/>
                <w:sz w:val="22"/>
                <w:szCs w:val="22"/>
                <w:lang w:val="en-US" w:eastAsia="zh-CN"/>
              </w:rPr>
              <w:t>1.89</w:t>
            </w:r>
            <w:r>
              <w:rPr>
                <w:rFonts w:ascii="Times New Roman" w:hAnsi="Times New Roman" w:cs="Times New Roman"/>
                <w:color w:val="000000"/>
                <w:sz w:val="22"/>
                <w:szCs w:val="22"/>
              </w:rPr>
              <w:t>%</w:t>
            </w:r>
          </w:p>
        </w:tc>
        <w:tc>
          <w:tcPr>
            <w:tcW w:w="1388" w:type="dxa"/>
            <w:vAlign w:val="center"/>
          </w:tcPr>
          <w:p>
            <w:pPr>
              <w:spacing w:line="240" w:lineRule="auto"/>
              <w:ind w:firstLine="0" w:firstLineChars="0"/>
              <w:jc w:val="center"/>
              <w:rPr>
                <w:rFonts w:hint="eastAsia" w:ascii="Times New Roman" w:hAnsi="Times New Roman" w:cs="Times New Roman" w:eastAsiaTheme="minorEastAsia"/>
                <w:color w:val="000000"/>
                <w:sz w:val="22"/>
                <w:szCs w:val="22"/>
                <w:lang w:eastAsia="zh-CN"/>
              </w:rPr>
            </w:pPr>
            <w:r>
              <w:rPr>
                <w:rFonts w:hint="eastAsia" w:ascii="Times New Roman" w:hAnsi="Times New Roman" w:eastAsia="宋体" w:cs="Times New Roman"/>
                <w:color w:val="000000"/>
                <w:sz w:val="22"/>
                <w:szCs w:val="22"/>
                <w:lang w:val="en-US" w:eastAsia="zh-CN"/>
              </w:rPr>
              <w:t>12</w:t>
            </w:r>
          </w:p>
        </w:tc>
        <w:tc>
          <w:tcPr>
            <w:tcW w:w="1389" w:type="dxa"/>
            <w:vAlign w:val="center"/>
          </w:tcPr>
          <w:p>
            <w:pPr>
              <w:spacing w:line="240" w:lineRule="auto"/>
              <w:ind w:firstLine="0" w:firstLineChars="0"/>
              <w:jc w:val="center"/>
              <w:rPr>
                <w:rFonts w:ascii="Times New Roman" w:hAnsi="Times New Roman" w:cs="Times New Roman"/>
                <w:color w:val="000000"/>
                <w:sz w:val="22"/>
                <w:szCs w:val="22"/>
              </w:rPr>
            </w:pPr>
            <w:r>
              <w:rPr>
                <w:rFonts w:hint="eastAsia" w:ascii="Times New Roman" w:hAnsi="Times New Roman" w:cs="Times New Roman"/>
                <w:color w:val="000000"/>
                <w:sz w:val="22"/>
                <w:szCs w:val="22"/>
                <w:lang w:val="en-US" w:eastAsia="zh-CN"/>
              </w:rPr>
              <w:t>0.45</w:t>
            </w:r>
            <w:r>
              <w:rPr>
                <w:rFonts w:ascii="Times New Roman" w:hAnsi="Times New Roman" w:cs="Times New Roman"/>
                <w:color w:val="000000"/>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gridAfter w:val="1"/>
          <w:wAfter w:w="1" w:type="dxa"/>
          <w:trHeight w:val="340" w:hRule="atLeast"/>
          <w:jc w:val="center"/>
        </w:trPr>
        <w:tc>
          <w:tcPr>
            <w:tcW w:w="1582"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四川省</w:t>
            </w:r>
          </w:p>
        </w:tc>
        <w:tc>
          <w:tcPr>
            <w:tcW w:w="1388" w:type="dxa"/>
            <w:shd w:val="clear" w:color="auto" w:fill="DEEAF6" w:themeFill="accent1" w:themeFillTint="33"/>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201</w:t>
            </w:r>
          </w:p>
        </w:tc>
        <w:tc>
          <w:tcPr>
            <w:tcW w:w="1389" w:type="dxa"/>
            <w:shd w:val="clear" w:color="auto" w:fill="DEEAF6" w:themeFill="accent1" w:themeFillTint="33"/>
            <w:vAlign w:val="center"/>
          </w:tcPr>
          <w:p>
            <w:pPr>
              <w:spacing w:line="240" w:lineRule="auto"/>
              <w:ind w:firstLine="0" w:firstLineChars="0"/>
              <w:jc w:val="center"/>
              <w:rPr>
                <w:rFonts w:ascii="Times New Roman" w:hAnsi="Times New Roman" w:eastAsia="宋体" w:cs="Times New Roman"/>
                <w:color w:val="000000"/>
                <w:sz w:val="22"/>
                <w:szCs w:val="22"/>
              </w:rPr>
            </w:pPr>
            <w:r>
              <w:rPr>
                <w:rFonts w:hint="eastAsia" w:ascii="Times New Roman" w:hAnsi="Times New Roman" w:cs="Times New Roman"/>
                <w:color w:val="000000"/>
                <w:sz w:val="22"/>
                <w:szCs w:val="22"/>
                <w:lang w:val="en-US" w:eastAsia="zh-CN"/>
              </w:rPr>
              <w:t>8.82</w:t>
            </w:r>
            <w:r>
              <w:rPr>
                <w:rFonts w:ascii="Times New Roman" w:hAnsi="Times New Roman" w:cs="Times New Roman"/>
                <w:color w:val="000000"/>
                <w:sz w:val="22"/>
                <w:szCs w:val="22"/>
              </w:rPr>
              <w:t>%</w:t>
            </w:r>
          </w:p>
        </w:tc>
        <w:tc>
          <w:tcPr>
            <w:tcW w:w="1388" w:type="dxa"/>
            <w:shd w:val="clear" w:color="auto" w:fill="DEEAF6" w:themeFill="accent1" w:themeFillTint="33"/>
            <w:vAlign w:val="center"/>
          </w:tcPr>
          <w:p>
            <w:pPr>
              <w:spacing w:line="240" w:lineRule="auto"/>
              <w:ind w:firstLine="0" w:firstLineChars="0"/>
              <w:jc w:val="center"/>
              <w:rPr>
                <w:rFonts w:hint="eastAsia" w:ascii="Times New Roman" w:hAnsi="Times New Roman" w:cs="Times New Roman" w:eastAsiaTheme="minorEastAsia"/>
                <w:color w:val="000000"/>
                <w:sz w:val="22"/>
                <w:szCs w:val="22"/>
                <w:lang w:eastAsia="zh-CN"/>
              </w:rPr>
            </w:pPr>
            <w:r>
              <w:rPr>
                <w:rFonts w:hint="eastAsia" w:ascii="Times New Roman" w:hAnsi="Times New Roman" w:eastAsia="宋体" w:cs="Times New Roman"/>
                <w:color w:val="000000"/>
                <w:sz w:val="22"/>
                <w:szCs w:val="22"/>
                <w:lang w:val="en-US" w:eastAsia="zh-CN"/>
              </w:rPr>
              <w:t>258</w:t>
            </w:r>
          </w:p>
        </w:tc>
        <w:tc>
          <w:tcPr>
            <w:tcW w:w="1389" w:type="dxa"/>
            <w:shd w:val="clear" w:color="auto" w:fill="DEEAF6" w:themeFill="accent1" w:themeFillTint="33"/>
            <w:vAlign w:val="center"/>
          </w:tcPr>
          <w:p>
            <w:pPr>
              <w:spacing w:line="240" w:lineRule="auto"/>
              <w:ind w:firstLine="0" w:firstLineChars="0"/>
              <w:jc w:val="center"/>
              <w:rPr>
                <w:rFonts w:ascii="Times New Roman" w:hAnsi="Times New Roman" w:cs="Times New Roman"/>
                <w:color w:val="000000"/>
                <w:sz w:val="22"/>
                <w:szCs w:val="22"/>
              </w:rPr>
            </w:pPr>
            <w:r>
              <w:rPr>
                <w:rFonts w:hint="eastAsia" w:ascii="Times New Roman" w:hAnsi="Times New Roman" w:cs="Times New Roman"/>
                <w:color w:val="000000"/>
                <w:sz w:val="22"/>
                <w:szCs w:val="22"/>
                <w:lang w:val="en-US" w:eastAsia="zh-CN"/>
              </w:rPr>
              <w:t>9.59</w:t>
            </w:r>
            <w:r>
              <w:rPr>
                <w:rFonts w:ascii="Times New Roman" w:hAnsi="Times New Roman" w:cs="Times New Roman"/>
                <w:color w:val="000000"/>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gridAfter w:val="1"/>
          <w:wAfter w:w="1" w:type="dxa"/>
          <w:trHeight w:val="288" w:hRule="atLeast"/>
          <w:jc w:val="center"/>
        </w:trPr>
        <w:tc>
          <w:tcPr>
            <w:tcW w:w="1582" w:type="dxa"/>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贵州省</w:t>
            </w:r>
          </w:p>
        </w:tc>
        <w:tc>
          <w:tcPr>
            <w:tcW w:w="1388" w:type="dxa"/>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142</w:t>
            </w:r>
          </w:p>
        </w:tc>
        <w:tc>
          <w:tcPr>
            <w:tcW w:w="1389" w:type="dxa"/>
            <w:vAlign w:val="center"/>
          </w:tcPr>
          <w:p>
            <w:pPr>
              <w:spacing w:line="240" w:lineRule="auto"/>
              <w:ind w:firstLine="0" w:firstLineChars="0"/>
              <w:jc w:val="center"/>
              <w:rPr>
                <w:rFonts w:ascii="Times New Roman" w:hAnsi="Times New Roman" w:eastAsia="宋体" w:cs="Times New Roman"/>
                <w:color w:val="000000"/>
                <w:sz w:val="22"/>
                <w:szCs w:val="22"/>
              </w:rPr>
            </w:pPr>
            <w:r>
              <w:rPr>
                <w:rFonts w:hint="eastAsia" w:ascii="Times New Roman" w:hAnsi="Times New Roman" w:cs="Times New Roman"/>
                <w:color w:val="000000"/>
                <w:sz w:val="22"/>
                <w:szCs w:val="22"/>
                <w:lang w:val="en-US" w:eastAsia="zh-CN"/>
              </w:rPr>
              <w:t>6.23</w:t>
            </w:r>
            <w:r>
              <w:rPr>
                <w:rFonts w:ascii="Times New Roman" w:hAnsi="Times New Roman" w:cs="Times New Roman"/>
                <w:color w:val="000000"/>
                <w:sz w:val="22"/>
                <w:szCs w:val="22"/>
              </w:rPr>
              <w:t>%</w:t>
            </w:r>
          </w:p>
        </w:tc>
        <w:tc>
          <w:tcPr>
            <w:tcW w:w="1388" w:type="dxa"/>
            <w:vAlign w:val="center"/>
          </w:tcPr>
          <w:p>
            <w:pPr>
              <w:spacing w:line="240" w:lineRule="auto"/>
              <w:ind w:firstLine="0" w:firstLineChars="0"/>
              <w:jc w:val="center"/>
              <w:rPr>
                <w:rFonts w:hint="eastAsia" w:ascii="Times New Roman" w:hAnsi="Times New Roman" w:cs="Times New Roman" w:eastAsiaTheme="minorEastAsia"/>
                <w:color w:val="000000"/>
                <w:sz w:val="22"/>
                <w:szCs w:val="22"/>
                <w:lang w:eastAsia="zh-CN"/>
              </w:rPr>
            </w:pPr>
            <w:r>
              <w:rPr>
                <w:rFonts w:hint="eastAsia" w:ascii="Times New Roman" w:hAnsi="Times New Roman" w:eastAsia="宋体" w:cs="Times New Roman"/>
                <w:color w:val="000000"/>
                <w:sz w:val="22"/>
                <w:szCs w:val="22"/>
                <w:lang w:val="en-US" w:eastAsia="zh-CN"/>
              </w:rPr>
              <w:t>157</w:t>
            </w:r>
          </w:p>
        </w:tc>
        <w:tc>
          <w:tcPr>
            <w:tcW w:w="1389" w:type="dxa"/>
            <w:vAlign w:val="center"/>
          </w:tcPr>
          <w:p>
            <w:pPr>
              <w:spacing w:line="240" w:lineRule="auto"/>
              <w:ind w:firstLine="0" w:firstLineChars="0"/>
              <w:jc w:val="center"/>
              <w:rPr>
                <w:rFonts w:ascii="Times New Roman" w:hAnsi="Times New Roman" w:cs="Times New Roman"/>
                <w:color w:val="000000"/>
                <w:sz w:val="22"/>
                <w:szCs w:val="22"/>
              </w:rPr>
            </w:pPr>
            <w:r>
              <w:rPr>
                <w:rFonts w:hint="eastAsia" w:ascii="Times New Roman" w:hAnsi="Times New Roman" w:cs="Times New Roman"/>
                <w:color w:val="000000"/>
                <w:sz w:val="22"/>
                <w:szCs w:val="22"/>
                <w:lang w:val="en-US" w:eastAsia="zh-CN"/>
              </w:rPr>
              <w:t>5.84</w:t>
            </w:r>
            <w:r>
              <w:rPr>
                <w:rFonts w:ascii="Times New Roman" w:hAnsi="Times New Roman" w:cs="Times New Roman"/>
                <w:color w:val="000000"/>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gridAfter w:val="1"/>
          <w:wAfter w:w="1" w:type="dxa"/>
          <w:trHeight w:val="288" w:hRule="atLeast"/>
          <w:jc w:val="center"/>
        </w:trPr>
        <w:tc>
          <w:tcPr>
            <w:tcW w:w="1582"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北京市</w:t>
            </w:r>
          </w:p>
        </w:tc>
        <w:tc>
          <w:tcPr>
            <w:tcW w:w="1388" w:type="dxa"/>
            <w:shd w:val="clear" w:color="auto" w:fill="DEEAF6" w:themeFill="accent1" w:themeFillTint="33"/>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22</w:t>
            </w:r>
          </w:p>
        </w:tc>
        <w:tc>
          <w:tcPr>
            <w:tcW w:w="1389" w:type="dxa"/>
            <w:shd w:val="clear" w:color="auto" w:fill="DEEAF6" w:themeFill="accent1" w:themeFillTint="33"/>
            <w:vAlign w:val="center"/>
          </w:tcPr>
          <w:p>
            <w:pPr>
              <w:spacing w:line="240" w:lineRule="auto"/>
              <w:ind w:firstLine="0" w:firstLineChars="0"/>
              <w:jc w:val="center"/>
              <w:rPr>
                <w:rFonts w:ascii="Times New Roman" w:hAnsi="Times New Roman" w:eastAsia="宋体" w:cs="Times New Roman"/>
                <w:color w:val="000000"/>
                <w:sz w:val="22"/>
                <w:szCs w:val="22"/>
              </w:rPr>
            </w:pPr>
            <w:r>
              <w:rPr>
                <w:rFonts w:hint="eastAsia" w:ascii="Times New Roman" w:hAnsi="Times New Roman" w:cs="Times New Roman"/>
                <w:color w:val="000000"/>
                <w:sz w:val="22"/>
                <w:szCs w:val="22"/>
                <w:lang w:val="en-US" w:eastAsia="zh-CN"/>
              </w:rPr>
              <w:t>0.97</w:t>
            </w:r>
            <w:r>
              <w:rPr>
                <w:rFonts w:ascii="Times New Roman" w:hAnsi="Times New Roman" w:cs="Times New Roman"/>
                <w:color w:val="000000"/>
                <w:sz w:val="22"/>
                <w:szCs w:val="22"/>
              </w:rPr>
              <w:t>%</w:t>
            </w:r>
          </w:p>
        </w:tc>
        <w:tc>
          <w:tcPr>
            <w:tcW w:w="1388" w:type="dxa"/>
            <w:shd w:val="clear" w:color="auto" w:fill="DEEAF6" w:themeFill="accent1" w:themeFillTint="33"/>
            <w:vAlign w:val="center"/>
          </w:tcPr>
          <w:p>
            <w:pPr>
              <w:spacing w:line="240" w:lineRule="auto"/>
              <w:ind w:firstLine="0" w:firstLineChars="0"/>
              <w:jc w:val="center"/>
              <w:rPr>
                <w:rFonts w:ascii="Times New Roman" w:hAnsi="Times New Roman" w:cs="Times New Roman"/>
                <w:color w:val="000000"/>
                <w:sz w:val="22"/>
                <w:szCs w:val="22"/>
              </w:rPr>
            </w:pPr>
            <w:r>
              <w:rPr>
                <w:rFonts w:ascii="Times New Roman" w:hAnsi="Times New Roman" w:eastAsia="宋体" w:cs="Times New Roman"/>
                <w:color w:val="000000"/>
                <w:sz w:val="22"/>
                <w:szCs w:val="22"/>
              </w:rPr>
              <w:t>22</w:t>
            </w:r>
          </w:p>
        </w:tc>
        <w:tc>
          <w:tcPr>
            <w:tcW w:w="1389" w:type="dxa"/>
            <w:shd w:val="clear" w:color="auto" w:fill="DEEAF6" w:themeFill="accent1" w:themeFillTint="33"/>
            <w:vAlign w:val="center"/>
          </w:tcPr>
          <w:p>
            <w:pPr>
              <w:spacing w:line="240" w:lineRule="auto"/>
              <w:ind w:firstLine="0" w:firstLineChars="0"/>
              <w:jc w:val="center"/>
              <w:rPr>
                <w:rFonts w:ascii="Times New Roman" w:hAnsi="Times New Roman" w:cs="Times New Roman"/>
                <w:color w:val="000000"/>
                <w:sz w:val="22"/>
                <w:szCs w:val="22"/>
              </w:rPr>
            </w:pPr>
            <w:r>
              <w:rPr>
                <w:rFonts w:ascii="Times New Roman" w:hAnsi="Times New Roman" w:cs="Times New Roman"/>
                <w:color w:val="000000"/>
                <w:sz w:val="22"/>
                <w:szCs w:val="22"/>
              </w:rPr>
              <w:t>0.97%</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gridAfter w:val="1"/>
          <w:wAfter w:w="1" w:type="dxa"/>
          <w:trHeight w:val="288" w:hRule="atLeast"/>
          <w:jc w:val="center"/>
        </w:trPr>
        <w:tc>
          <w:tcPr>
            <w:tcW w:w="1582" w:type="dxa"/>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江西省</w:t>
            </w:r>
          </w:p>
        </w:tc>
        <w:tc>
          <w:tcPr>
            <w:tcW w:w="1388" w:type="dxa"/>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85</w:t>
            </w:r>
          </w:p>
        </w:tc>
        <w:tc>
          <w:tcPr>
            <w:tcW w:w="1389" w:type="dxa"/>
            <w:vAlign w:val="center"/>
          </w:tcPr>
          <w:p>
            <w:pPr>
              <w:spacing w:line="240" w:lineRule="auto"/>
              <w:ind w:firstLine="0" w:firstLineChars="0"/>
              <w:jc w:val="center"/>
              <w:rPr>
                <w:rFonts w:ascii="Times New Roman" w:hAnsi="Times New Roman" w:eastAsia="宋体" w:cs="Times New Roman"/>
                <w:color w:val="000000"/>
                <w:sz w:val="22"/>
                <w:szCs w:val="22"/>
              </w:rPr>
            </w:pPr>
            <w:r>
              <w:rPr>
                <w:rFonts w:hint="eastAsia" w:ascii="Times New Roman" w:hAnsi="Times New Roman" w:cs="Times New Roman"/>
                <w:color w:val="000000"/>
                <w:sz w:val="22"/>
                <w:szCs w:val="22"/>
                <w:lang w:val="en-US" w:eastAsia="zh-CN"/>
              </w:rPr>
              <w:t>3.73</w:t>
            </w:r>
            <w:r>
              <w:rPr>
                <w:rFonts w:ascii="Times New Roman" w:hAnsi="Times New Roman" w:cs="Times New Roman"/>
                <w:color w:val="000000"/>
                <w:sz w:val="22"/>
                <w:szCs w:val="22"/>
              </w:rPr>
              <w:t>%</w:t>
            </w:r>
          </w:p>
        </w:tc>
        <w:tc>
          <w:tcPr>
            <w:tcW w:w="1388" w:type="dxa"/>
            <w:vAlign w:val="center"/>
          </w:tcPr>
          <w:p>
            <w:pPr>
              <w:spacing w:line="240" w:lineRule="auto"/>
              <w:ind w:firstLine="0" w:firstLineChars="0"/>
              <w:jc w:val="center"/>
              <w:rPr>
                <w:rFonts w:hint="eastAsia" w:ascii="Times New Roman" w:hAnsi="Times New Roman" w:cs="Times New Roman" w:eastAsiaTheme="minorEastAsia"/>
                <w:color w:val="000000"/>
                <w:sz w:val="22"/>
                <w:szCs w:val="22"/>
                <w:lang w:eastAsia="zh-CN"/>
              </w:rPr>
            </w:pPr>
            <w:r>
              <w:rPr>
                <w:rFonts w:hint="eastAsia" w:ascii="Times New Roman" w:hAnsi="Times New Roman" w:eastAsia="宋体" w:cs="Times New Roman"/>
                <w:color w:val="000000"/>
                <w:sz w:val="22"/>
                <w:szCs w:val="22"/>
                <w:lang w:val="en-US" w:eastAsia="zh-CN"/>
              </w:rPr>
              <w:t>6</w:t>
            </w:r>
          </w:p>
        </w:tc>
        <w:tc>
          <w:tcPr>
            <w:tcW w:w="1389" w:type="dxa"/>
            <w:vAlign w:val="center"/>
          </w:tcPr>
          <w:p>
            <w:pPr>
              <w:spacing w:line="240" w:lineRule="auto"/>
              <w:ind w:firstLine="0" w:firstLineChars="0"/>
              <w:jc w:val="center"/>
              <w:rPr>
                <w:rFonts w:ascii="Times New Roman" w:hAnsi="Times New Roman" w:cs="Times New Roman"/>
                <w:color w:val="000000"/>
                <w:sz w:val="22"/>
                <w:szCs w:val="22"/>
              </w:rPr>
            </w:pPr>
            <w:r>
              <w:rPr>
                <w:rFonts w:hint="eastAsia" w:ascii="Times New Roman" w:hAnsi="Times New Roman" w:cs="Times New Roman"/>
                <w:color w:val="000000"/>
                <w:sz w:val="22"/>
                <w:szCs w:val="22"/>
                <w:lang w:val="en-US" w:eastAsia="zh-CN"/>
              </w:rPr>
              <w:t>0.22</w:t>
            </w:r>
            <w:r>
              <w:rPr>
                <w:rFonts w:ascii="Times New Roman" w:hAnsi="Times New Roman" w:cs="Times New Roman"/>
                <w:color w:val="000000"/>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gridAfter w:val="1"/>
          <w:wAfter w:w="1" w:type="dxa"/>
          <w:trHeight w:val="288" w:hRule="atLeast"/>
          <w:jc w:val="center"/>
        </w:trPr>
        <w:tc>
          <w:tcPr>
            <w:tcW w:w="1582"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广东省</w:t>
            </w:r>
          </w:p>
        </w:tc>
        <w:tc>
          <w:tcPr>
            <w:tcW w:w="1388" w:type="dxa"/>
            <w:shd w:val="clear" w:color="auto" w:fill="DEEAF6" w:themeFill="accent1" w:themeFillTint="33"/>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47</w:t>
            </w:r>
          </w:p>
        </w:tc>
        <w:tc>
          <w:tcPr>
            <w:tcW w:w="1389" w:type="dxa"/>
            <w:shd w:val="clear" w:color="auto" w:fill="DEEAF6" w:themeFill="accent1" w:themeFillTint="33"/>
            <w:vAlign w:val="center"/>
          </w:tcPr>
          <w:p>
            <w:pPr>
              <w:spacing w:line="240" w:lineRule="auto"/>
              <w:ind w:firstLine="0" w:firstLineChars="0"/>
              <w:jc w:val="center"/>
              <w:rPr>
                <w:rFonts w:ascii="Times New Roman" w:hAnsi="Times New Roman" w:eastAsia="宋体" w:cs="Times New Roman"/>
                <w:color w:val="000000"/>
                <w:sz w:val="22"/>
                <w:szCs w:val="22"/>
              </w:rPr>
            </w:pPr>
            <w:r>
              <w:rPr>
                <w:rFonts w:hint="eastAsia" w:ascii="Times New Roman" w:hAnsi="Times New Roman" w:cs="Times New Roman"/>
                <w:color w:val="000000"/>
                <w:sz w:val="22"/>
                <w:szCs w:val="22"/>
                <w:lang w:val="en-US" w:eastAsia="zh-CN"/>
              </w:rPr>
              <w:t>2.06</w:t>
            </w:r>
            <w:r>
              <w:rPr>
                <w:rFonts w:ascii="Times New Roman" w:hAnsi="Times New Roman" w:cs="Times New Roman"/>
                <w:color w:val="000000"/>
                <w:sz w:val="22"/>
                <w:szCs w:val="22"/>
              </w:rPr>
              <w:t>%</w:t>
            </w:r>
          </w:p>
        </w:tc>
        <w:tc>
          <w:tcPr>
            <w:tcW w:w="1388" w:type="dxa"/>
            <w:shd w:val="clear" w:color="auto" w:fill="DEEAF6" w:themeFill="accent1" w:themeFillTint="33"/>
            <w:vAlign w:val="center"/>
          </w:tcPr>
          <w:p>
            <w:pPr>
              <w:spacing w:line="240" w:lineRule="auto"/>
              <w:ind w:firstLine="0" w:firstLineChars="0"/>
              <w:jc w:val="center"/>
              <w:rPr>
                <w:rFonts w:hint="eastAsia" w:ascii="Times New Roman" w:hAnsi="Times New Roman" w:cs="Times New Roman" w:eastAsiaTheme="minorEastAsia"/>
                <w:color w:val="000000"/>
                <w:sz w:val="22"/>
                <w:szCs w:val="22"/>
                <w:lang w:eastAsia="zh-CN"/>
              </w:rPr>
            </w:pPr>
            <w:r>
              <w:rPr>
                <w:rFonts w:hint="eastAsia" w:ascii="Times New Roman" w:hAnsi="Times New Roman" w:eastAsia="宋体" w:cs="Times New Roman"/>
                <w:color w:val="000000"/>
                <w:sz w:val="22"/>
                <w:szCs w:val="22"/>
                <w:lang w:val="en-US" w:eastAsia="zh-CN"/>
              </w:rPr>
              <w:t>102</w:t>
            </w:r>
          </w:p>
        </w:tc>
        <w:tc>
          <w:tcPr>
            <w:tcW w:w="1389" w:type="dxa"/>
            <w:shd w:val="clear" w:color="auto" w:fill="DEEAF6" w:themeFill="accent1" w:themeFillTint="33"/>
            <w:vAlign w:val="center"/>
          </w:tcPr>
          <w:p>
            <w:pPr>
              <w:spacing w:line="240" w:lineRule="auto"/>
              <w:ind w:firstLine="0" w:firstLineChars="0"/>
              <w:jc w:val="center"/>
              <w:rPr>
                <w:rFonts w:ascii="Times New Roman" w:hAnsi="Times New Roman" w:cs="Times New Roman"/>
                <w:color w:val="000000"/>
                <w:sz w:val="22"/>
                <w:szCs w:val="22"/>
              </w:rPr>
            </w:pPr>
            <w:r>
              <w:rPr>
                <w:rFonts w:hint="eastAsia" w:ascii="Times New Roman" w:hAnsi="Times New Roman" w:cs="Times New Roman"/>
                <w:color w:val="000000"/>
                <w:sz w:val="22"/>
                <w:szCs w:val="22"/>
                <w:lang w:val="en-US" w:eastAsia="zh-CN"/>
              </w:rPr>
              <w:t>3.79</w:t>
            </w:r>
            <w:r>
              <w:rPr>
                <w:rFonts w:ascii="Times New Roman" w:hAnsi="Times New Roman" w:cs="Times New Roman"/>
                <w:color w:val="000000"/>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gridAfter w:val="1"/>
          <w:wAfter w:w="1" w:type="dxa"/>
          <w:trHeight w:val="288" w:hRule="atLeast"/>
          <w:jc w:val="center"/>
        </w:trPr>
        <w:tc>
          <w:tcPr>
            <w:tcW w:w="1582" w:type="dxa"/>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广西省</w:t>
            </w:r>
          </w:p>
        </w:tc>
        <w:tc>
          <w:tcPr>
            <w:tcW w:w="1388" w:type="dxa"/>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23</w:t>
            </w:r>
          </w:p>
        </w:tc>
        <w:tc>
          <w:tcPr>
            <w:tcW w:w="1389" w:type="dxa"/>
            <w:vAlign w:val="center"/>
          </w:tcPr>
          <w:p>
            <w:pPr>
              <w:spacing w:line="240" w:lineRule="auto"/>
              <w:ind w:firstLine="0" w:firstLineChars="0"/>
              <w:jc w:val="center"/>
              <w:rPr>
                <w:rFonts w:ascii="Times New Roman" w:hAnsi="Times New Roman" w:eastAsia="宋体" w:cs="Times New Roman"/>
                <w:color w:val="000000"/>
                <w:sz w:val="22"/>
                <w:szCs w:val="22"/>
              </w:rPr>
            </w:pPr>
            <w:r>
              <w:rPr>
                <w:rFonts w:hint="eastAsia" w:ascii="Times New Roman" w:hAnsi="Times New Roman" w:cs="Times New Roman"/>
                <w:color w:val="000000"/>
                <w:sz w:val="22"/>
                <w:szCs w:val="22"/>
                <w:lang w:val="en-US" w:eastAsia="zh-CN"/>
              </w:rPr>
              <w:t>1.01</w:t>
            </w:r>
            <w:r>
              <w:rPr>
                <w:rFonts w:ascii="Times New Roman" w:hAnsi="Times New Roman" w:cs="Times New Roman"/>
                <w:color w:val="000000"/>
                <w:sz w:val="22"/>
                <w:szCs w:val="22"/>
              </w:rPr>
              <w:t>%</w:t>
            </w:r>
          </w:p>
        </w:tc>
        <w:tc>
          <w:tcPr>
            <w:tcW w:w="1388" w:type="dxa"/>
            <w:vAlign w:val="center"/>
          </w:tcPr>
          <w:p>
            <w:pPr>
              <w:spacing w:line="240" w:lineRule="auto"/>
              <w:ind w:firstLine="0" w:firstLineChars="0"/>
              <w:jc w:val="center"/>
              <w:rPr>
                <w:rFonts w:hint="eastAsia" w:ascii="Times New Roman" w:hAnsi="Times New Roman" w:cs="Times New Roman" w:eastAsiaTheme="minorEastAsia"/>
                <w:color w:val="000000"/>
                <w:sz w:val="22"/>
                <w:szCs w:val="22"/>
                <w:lang w:eastAsia="zh-CN"/>
              </w:rPr>
            </w:pPr>
            <w:r>
              <w:rPr>
                <w:rFonts w:hint="eastAsia" w:ascii="Times New Roman" w:hAnsi="Times New Roman" w:eastAsia="宋体" w:cs="Times New Roman"/>
                <w:color w:val="000000"/>
                <w:sz w:val="22"/>
                <w:szCs w:val="22"/>
                <w:lang w:val="en-US" w:eastAsia="zh-CN"/>
              </w:rPr>
              <w:t>47</w:t>
            </w:r>
          </w:p>
        </w:tc>
        <w:tc>
          <w:tcPr>
            <w:tcW w:w="1389" w:type="dxa"/>
            <w:vAlign w:val="center"/>
          </w:tcPr>
          <w:p>
            <w:pPr>
              <w:spacing w:line="240" w:lineRule="auto"/>
              <w:ind w:firstLine="0" w:firstLineChars="0"/>
              <w:jc w:val="center"/>
              <w:rPr>
                <w:rFonts w:ascii="Times New Roman" w:hAnsi="Times New Roman" w:cs="Times New Roman"/>
                <w:color w:val="000000"/>
                <w:sz w:val="22"/>
                <w:szCs w:val="22"/>
              </w:rPr>
            </w:pPr>
            <w:r>
              <w:rPr>
                <w:rFonts w:hint="eastAsia" w:ascii="Times New Roman" w:hAnsi="Times New Roman" w:cs="Times New Roman"/>
                <w:color w:val="000000"/>
                <w:sz w:val="22"/>
                <w:szCs w:val="22"/>
                <w:lang w:val="en-US" w:eastAsia="zh-CN"/>
              </w:rPr>
              <w:t>1.75</w:t>
            </w:r>
            <w:r>
              <w:rPr>
                <w:rFonts w:ascii="Times New Roman" w:hAnsi="Times New Roman" w:cs="Times New Roman"/>
                <w:color w:val="000000"/>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gridAfter w:val="1"/>
          <w:wAfter w:w="1" w:type="dxa"/>
          <w:trHeight w:val="288" w:hRule="atLeast"/>
          <w:jc w:val="center"/>
        </w:trPr>
        <w:tc>
          <w:tcPr>
            <w:tcW w:w="1582"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上海市</w:t>
            </w:r>
          </w:p>
        </w:tc>
        <w:tc>
          <w:tcPr>
            <w:tcW w:w="1388" w:type="dxa"/>
            <w:shd w:val="clear" w:color="auto" w:fill="DEEAF6" w:themeFill="accent1" w:themeFillTint="33"/>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23</w:t>
            </w:r>
          </w:p>
        </w:tc>
        <w:tc>
          <w:tcPr>
            <w:tcW w:w="1389" w:type="dxa"/>
            <w:shd w:val="clear" w:color="auto" w:fill="DEEAF6" w:themeFill="accent1" w:themeFillTint="33"/>
            <w:vAlign w:val="center"/>
          </w:tcPr>
          <w:p>
            <w:pPr>
              <w:spacing w:line="240" w:lineRule="auto"/>
              <w:ind w:firstLine="0" w:firstLineChars="0"/>
              <w:jc w:val="center"/>
              <w:rPr>
                <w:rFonts w:ascii="Times New Roman" w:hAnsi="Times New Roman" w:eastAsia="宋体" w:cs="Times New Roman"/>
                <w:color w:val="000000"/>
                <w:sz w:val="22"/>
                <w:szCs w:val="22"/>
              </w:rPr>
            </w:pPr>
            <w:r>
              <w:rPr>
                <w:rFonts w:hint="eastAsia" w:ascii="Times New Roman" w:hAnsi="Times New Roman" w:cs="Times New Roman"/>
                <w:color w:val="000000"/>
                <w:sz w:val="22"/>
                <w:szCs w:val="22"/>
                <w:lang w:val="en-US" w:eastAsia="zh-CN"/>
              </w:rPr>
              <w:t>1.01</w:t>
            </w:r>
            <w:r>
              <w:rPr>
                <w:rFonts w:ascii="Times New Roman" w:hAnsi="Times New Roman" w:cs="Times New Roman"/>
                <w:color w:val="000000"/>
                <w:sz w:val="22"/>
                <w:szCs w:val="22"/>
              </w:rPr>
              <w:t>%</w:t>
            </w:r>
          </w:p>
        </w:tc>
        <w:tc>
          <w:tcPr>
            <w:tcW w:w="1388" w:type="dxa"/>
            <w:shd w:val="clear" w:color="auto" w:fill="DEEAF6" w:themeFill="accent1" w:themeFillTint="33"/>
            <w:vAlign w:val="center"/>
          </w:tcPr>
          <w:p>
            <w:pPr>
              <w:spacing w:line="240" w:lineRule="auto"/>
              <w:ind w:firstLine="0" w:firstLineChars="0"/>
              <w:jc w:val="center"/>
              <w:rPr>
                <w:rFonts w:hint="eastAsia" w:ascii="Times New Roman" w:hAnsi="Times New Roman" w:cs="Times New Roman" w:eastAsiaTheme="minorEastAsia"/>
                <w:color w:val="000000"/>
                <w:sz w:val="22"/>
                <w:szCs w:val="22"/>
                <w:lang w:eastAsia="zh-CN"/>
              </w:rPr>
            </w:pPr>
            <w:r>
              <w:rPr>
                <w:rFonts w:hint="eastAsia" w:ascii="Times New Roman" w:hAnsi="Times New Roman" w:eastAsia="宋体" w:cs="Times New Roman"/>
                <w:color w:val="000000"/>
                <w:sz w:val="22"/>
                <w:szCs w:val="22"/>
                <w:lang w:val="en-US" w:eastAsia="zh-CN"/>
              </w:rPr>
              <w:t>79</w:t>
            </w:r>
          </w:p>
        </w:tc>
        <w:tc>
          <w:tcPr>
            <w:tcW w:w="1389" w:type="dxa"/>
            <w:shd w:val="clear" w:color="auto" w:fill="DEEAF6" w:themeFill="accent1" w:themeFillTint="33"/>
            <w:vAlign w:val="center"/>
          </w:tcPr>
          <w:p>
            <w:pPr>
              <w:spacing w:line="240" w:lineRule="auto"/>
              <w:ind w:firstLine="0" w:firstLineChars="0"/>
              <w:jc w:val="center"/>
              <w:rPr>
                <w:rFonts w:ascii="Times New Roman" w:hAnsi="Times New Roman" w:cs="Times New Roman"/>
                <w:color w:val="000000"/>
                <w:sz w:val="22"/>
                <w:szCs w:val="22"/>
              </w:rPr>
            </w:pPr>
            <w:r>
              <w:rPr>
                <w:rFonts w:hint="eastAsia" w:ascii="Times New Roman" w:hAnsi="Times New Roman" w:cs="Times New Roman"/>
                <w:color w:val="000000"/>
                <w:sz w:val="22"/>
                <w:szCs w:val="22"/>
                <w:lang w:val="en-US" w:eastAsia="zh-CN"/>
              </w:rPr>
              <w:t>2.94</w:t>
            </w:r>
            <w:r>
              <w:rPr>
                <w:rFonts w:ascii="Times New Roman" w:hAnsi="Times New Roman" w:cs="Times New Roman"/>
                <w:color w:val="000000"/>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gridAfter w:val="1"/>
          <w:wAfter w:w="1" w:type="dxa"/>
          <w:trHeight w:val="288" w:hRule="atLeast"/>
          <w:jc w:val="center"/>
        </w:trPr>
        <w:tc>
          <w:tcPr>
            <w:tcW w:w="1582" w:type="dxa"/>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山东省</w:t>
            </w:r>
          </w:p>
        </w:tc>
        <w:tc>
          <w:tcPr>
            <w:tcW w:w="1388" w:type="dxa"/>
            <w:vAlign w:val="center"/>
          </w:tcPr>
          <w:p>
            <w:pPr>
              <w:spacing w:line="240" w:lineRule="auto"/>
              <w:ind w:firstLine="0" w:firstLineChars="0"/>
              <w:jc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35</w:t>
            </w:r>
          </w:p>
        </w:tc>
        <w:tc>
          <w:tcPr>
            <w:tcW w:w="1389" w:type="dxa"/>
            <w:vAlign w:val="center"/>
          </w:tcPr>
          <w:p>
            <w:pPr>
              <w:spacing w:line="240" w:lineRule="auto"/>
              <w:ind w:firstLine="0" w:firstLineChars="0"/>
              <w:jc w:val="center"/>
              <w:rPr>
                <w:rFonts w:hint="eastAsia" w:ascii="Times New Roman" w:hAnsi="Times New Roman" w:cs="Times New Roman" w:eastAsiaTheme="minorEastAsia"/>
                <w:color w:val="000000"/>
                <w:sz w:val="22"/>
                <w:szCs w:val="22"/>
                <w:lang w:val="en-US" w:eastAsia="zh-CN"/>
              </w:rPr>
            </w:pPr>
            <w:r>
              <w:rPr>
                <w:rFonts w:hint="eastAsia" w:ascii="Times New Roman" w:hAnsi="Times New Roman" w:cs="Times New Roman"/>
                <w:color w:val="000000"/>
                <w:sz w:val="22"/>
                <w:szCs w:val="22"/>
                <w:lang w:val="en-US" w:eastAsia="zh-CN"/>
              </w:rPr>
              <w:t>1.54%</w:t>
            </w:r>
          </w:p>
        </w:tc>
        <w:tc>
          <w:tcPr>
            <w:tcW w:w="1388" w:type="dxa"/>
            <w:vAlign w:val="center"/>
          </w:tcPr>
          <w:p>
            <w:pPr>
              <w:spacing w:line="240" w:lineRule="auto"/>
              <w:ind w:firstLine="0" w:firstLineChars="0"/>
              <w:jc w:val="center"/>
              <w:rPr>
                <w:rFonts w:hint="eastAsia" w:ascii="Times New Roman" w:hAnsi="Times New Roman" w:cs="Times New Roman" w:eastAsiaTheme="minorEastAsia"/>
                <w:color w:val="000000"/>
                <w:sz w:val="22"/>
                <w:szCs w:val="22"/>
                <w:lang w:eastAsia="zh-CN"/>
              </w:rPr>
            </w:pPr>
            <w:r>
              <w:rPr>
                <w:rFonts w:hint="eastAsia" w:ascii="Times New Roman" w:hAnsi="Times New Roman" w:cs="Times New Roman"/>
                <w:color w:val="000000"/>
                <w:sz w:val="22"/>
                <w:szCs w:val="22"/>
                <w:lang w:val="en-US" w:eastAsia="zh-CN"/>
              </w:rPr>
              <w:t>8</w:t>
            </w:r>
          </w:p>
        </w:tc>
        <w:tc>
          <w:tcPr>
            <w:tcW w:w="1389" w:type="dxa"/>
            <w:vAlign w:val="center"/>
          </w:tcPr>
          <w:p>
            <w:pPr>
              <w:spacing w:line="240" w:lineRule="auto"/>
              <w:ind w:firstLine="0" w:firstLineChars="0"/>
              <w:jc w:val="center"/>
              <w:rPr>
                <w:rFonts w:ascii="Times New Roman" w:hAnsi="Times New Roman" w:cs="Times New Roman"/>
                <w:color w:val="000000"/>
                <w:sz w:val="22"/>
                <w:szCs w:val="22"/>
              </w:rPr>
            </w:pPr>
            <w:r>
              <w:rPr>
                <w:rFonts w:hint="eastAsia" w:ascii="Times New Roman" w:hAnsi="Times New Roman" w:cs="Times New Roman"/>
                <w:color w:val="000000"/>
                <w:sz w:val="22"/>
                <w:szCs w:val="22"/>
                <w:lang w:val="en-US" w:eastAsia="zh-CN"/>
              </w:rPr>
              <w:t>0.30</w:t>
            </w:r>
            <w:r>
              <w:rPr>
                <w:rFonts w:ascii="Times New Roman" w:hAnsi="Times New Roman" w:cs="Times New Roman"/>
                <w:color w:val="000000"/>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gridAfter w:val="1"/>
          <w:wAfter w:w="1" w:type="dxa"/>
          <w:trHeight w:val="288" w:hRule="atLeast"/>
          <w:jc w:val="center"/>
        </w:trPr>
        <w:tc>
          <w:tcPr>
            <w:tcW w:w="1582"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云南省</w:t>
            </w:r>
          </w:p>
        </w:tc>
        <w:tc>
          <w:tcPr>
            <w:tcW w:w="1388" w:type="dxa"/>
            <w:shd w:val="clear" w:color="auto" w:fill="DEEAF6" w:themeFill="accent1" w:themeFillTint="33"/>
            <w:vAlign w:val="center"/>
          </w:tcPr>
          <w:p>
            <w:pPr>
              <w:spacing w:line="240" w:lineRule="auto"/>
              <w:ind w:firstLine="0" w:firstLineChars="0"/>
              <w:jc w:val="center"/>
              <w:rPr>
                <w:rFonts w:hint="eastAsia" w:ascii="Times New Roman" w:hAnsi="Times New Roman" w:eastAsia="宋体" w:cs="Times New Roman"/>
                <w:i w:val="0"/>
                <w:iCs/>
                <w:color w:val="000000"/>
                <w:sz w:val="22"/>
                <w:szCs w:val="22"/>
                <w:lang w:val="en-US" w:eastAsia="zh-CN"/>
              </w:rPr>
            </w:pPr>
            <w:r>
              <w:rPr>
                <w:rFonts w:hint="eastAsia" w:ascii="Times New Roman" w:hAnsi="Times New Roman" w:eastAsia="宋体" w:cs="Times New Roman"/>
                <w:i w:val="0"/>
                <w:iCs/>
                <w:color w:val="000000"/>
                <w:sz w:val="22"/>
                <w:szCs w:val="22"/>
                <w:lang w:val="en-US" w:eastAsia="zh-CN"/>
              </w:rPr>
              <w:t>22</w:t>
            </w:r>
          </w:p>
        </w:tc>
        <w:tc>
          <w:tcPr>
            <w:tcW w:w="1389" w:type="dxa"/>
            <w:shd w:val="clear" w:color="auto" w:fill="DEEAF6" w:themeFill="accent1" w:themeFillTint="33"/>
            <w:vAlign w:val="center"/>
          </w:tcPr>
          <w:p>
            <w:pPr>
              <w:spacing w:line="240" w:lineRule="auto"/>
              <w:ind w:firstLine="0" w:firstLineChars="0"/>
              <w:jc w:val="center"/>
              <w:rPr>
                <w:rFonts w:ascii="Times New Roman" w:hAnsi="Times New Roman" w:cs="Times New Roman"/>
                <w:i w:val="0"/>
                <w:iCs/>
                <w:color w:val="000000"/>
                <w:sz w:val="22"/>
                <w:szCs w:val="22"/>
              </w:rPr>
            </w:pPr>
            <w:r>
              <w:rPr>
                <w:rFonts w:ascii="Times New Roman" w:hAnsi="Times New Roman" w:cs="Times New Roman"/>
                <w:i w:val="0"/>
                <w:iCs/>
                <w:color w:val="000000"/>
                <w:sz w:val="22"/>
                <w:szCs w:val="22"/>
              </w:rPr>
              <w:t>0.</w:t>
            </w:r>
            <w:r>
              <w:rPr>
                <w:rFonts w:hint="eastAsia" w:ascii="Times New Roman" w:hAnsi="Times New Roman" w:cs="Times New Roman"/>
                <w:i w:val="0"/>
                <w:iCs/>
                <w:color w:val="000000"/>
                <w:sz w:val="22"/>
                <w:szCs w:val="22"/>
                <w:lang w:val="en-US" w:eastAsia="zh-CN"/>
              </w:rPr>
              <w:t>97</w:t>
            </w:r>
            <w:r>
              <w:rPr>
                <w:rFonts w:ascii="Times New Roman" w:hAnsi="Times New Roman" w:cs="Times New Roman"/>
                <w:i w:val="0"/>
                <w:iCs/>
                <w:color w:val="000000"/>
                <w:sz w:val="22"/>
                <w:szCs w:val="22"/>
              </w:rPr>
              <w:t>%</w:t>
            </w:r>
          </w:p>
        </w:tc>
        <w:tc>
          <w:tcPr>
            <w:tcW w:w="1388" w:type="dxa"/>
            <w:shd w:val="clear" w:color="auto" w:fill="DEEAF6" w:themeFill="accent1" w:themeFillTint="33"/>
            <w:vAlign w:val="center"/>
          </w:tcPr>
          <w:p>
            <w:pPr>
              <w:spacing w:line="240" w:lineRule="auto"/>
              <w:ind w:firstLine="0" w:firstLineChars="0"/>
              <w:jc w:val="center"/>
              <w:rPr>
                <w:rFonts w:hint="eastAsia" w:ascii="Times New Roman" w:hAnsi="Times New Roman" w:cs="Times New Roman" w:eastAsiaTheme="minorEastAsia"/>
                <w:color w:val="000000"/>
                <w:sz w:val="22"/>
                <w:szCs w:val="22"/>
                <w:lang w:eastAsia="zh-CN"/>
              </w:rPr>
            </w:pPr>
            <w:r>
              <w:rPr>
                <w:rFonts w:hint="eastAsia" w:ascii="Times New Roman" w:hAnsi="Times New Roman" w:cs="Times New Roman"/>
                <w:color w:val="000000"/>
                <w:sz w:val="22"/>
                <w:szCs w:val="22"/>
                <w:lang w:val="en-US" w:eastAsia="zh-CN"/>
              </w:rPr>
              <w:t>28</w:t>
            </w:r>
          </w:p>
        </w:tc>
        <w:tc>
          <w:tcPr>
            <w:tcW w:w="1389" w:type="dxa"/>
            <w:shd w:val="clear" w:color="auto" w:fill="DEEAF6" w:themeFill="accent1" w:themeFillTint="33"/>
            <w:vAlign w:val="center"/>
          </w:tcPr>
          <w:p>
            <w:pPr>
              <w:spacing w:line="240" w:lineRule="auto"/>
              <w:ind w:firstLine="0" w:firstLineChars="0"/>
              <w:jc w:val="center"/>
              <w:rPr>
                <w:rFonts w:ascii="Times New Roman" w:hAnsi="Times New Roman" w:cs="Times New Roman"/>
                <w:color w:val="000000"/>
                <w:sz w:val="22"/>
                <w:szCs w:val="22"/>
              </w:rPr>
            </w:pPr>
            <w:r>
              <w:rPr>
                <w:rFonts w:hint="eastAsia" w:ascii="Times New Roman" w:hAnsi="Times New Roman" w:cs="Times New Roman"/>
                <w:color w:val="000000"/>
                <w:sz w:val="22"/>
                <w:szCs w:val="22"/>
                <w:lang w:val="en-US" w:eastAsia="zh-CN"/>
              </w:rPr>
              <w:t>1.04</w:t>
            </w:r>
            <w:r>
              <w:rPr>
                <w:rFonts w:ascii="Times New Roman" w:hAnsi="Times New Roman" w:cs="Times New Roman"/>
                <w:color w:val="000000"/>
                <w:sz w:val="22"/>
                <w:szCs w:val="22"/>
              </w:rPr>
              <w:t>%</w:t>
            </w:r>
          </w:p>
        </w:tc>
      </w:tr>
    </w:tbl>
    <w:p>
      <w:pPr>
        <w:spacing w:line="288" w:lineRule="auto"/>
        <w:ind w:firstLine="0" w:firstLineChars="0"/>
        <w:rPr>
          <w:rFonts w:ascii="Times New Roman" w:hAnsi="Times New Roman"/>
          <w:caps/>
          <w:sz w:val="18"/>
        </w:rPr>
      </w:pPr>
    </w:p>
    <w:p>
      <w:pPr>
        <w:spacing w:line="288" w:lineRule="auto"/>
        <w:ind w:firstLine="0" w:firstLineChars="0"/>
        <w:rPr>
          <w:rFonts w:ascii="Times New Roman" w:hAnsi="Times New Roman"/>
          <w:caps/>
          <w:sz w:val="18"/>
        </w:rPr>
      </w:pPr>
      <w:r>
        <w:rPr>
          <w:rFonts w:ascii="Times New Roman" w:hAnsi="Times New Roman"/>
          <w:caps/>
          <w:sz w:val="18"/>
        </w:rPr>
        <w:t>注</w:t>
      </w:r>
      <w:r>
        <w:rPr>
          <w:rFonts w:hint="eastAsia" w:ascii="Times New Roman" w:hAnsi="Times New Roman"/>
          <w:caps/>
          <w:sz w:val="18"/>
        </w:rPr>
        <w:t>：</w:t>
      </w:r>
      <w:r>
        <w:rPr>
          <w:rFonts w:ascii="Times New Roman" w:hAnsi="Times New Roman"/>
          <w:caps/>
          <w:sz w:val="18"/>
        </w:rPr>
        <w:t>主要就业流向地区指</w:t>
      </w:r>
      <w:r>
        <w:rPr>
          <w:rFonts w:hint="eastAsia" w:ascii="Times New Roman" w:hAnsi="Times New Roman"/>
          <w:caps/>
          <w:sz w:val="18"/>
        </w:rPr>
        <w:t>2015届</w:t>
      </w:r>
      <w:r>
        <w:rPr>
          <w:rFonts w:ascii="Times New Roman" w:hAnsi="Times New Roman"/>
          <w:caps/>
          <w:sz w:val="18"/>
        </w:rPr>
        <w:t>毕业生</w:t>
      </w:r>
      <w:r>
        <w:rPr>
          <w:rFonts w:hint="eastAsia" w:ascii="Times New Roman" w:hAnsi="Times New Roman"/>
          <w:caps/>
          <w:sz w:val="18"/>
        </w:rPr>
        <w:t>就业</w:t>
      </w:r>
      <w:r>
        <w:rPr>
          <w:rFonts w:ascii="Times New Roman" w:hAnsi="Times New Roman"/>
          <w:caps/>
          <w:sz w:val="18"/>
        </w:rPr>
        <w:t>人数≥</w:t>
      </w:r>
      <w:r>
        <w:rPr>
          <w:rFonts w:hint="eastAsia" w:ascii="Times New Roman" w:hAnsi="Times New Roman"/>
          <w:caps/>
          <w:sz w:val="18"/>
        </w:rPr>
        <w:t>20的地区。</w:t>
      </w:r>
    </w:p>
    <w:p>
      <w:pPr>
        <w:spacing w:line="288" w:lineRule="auto"/>
        <w:ind w:firstLine="0" w:firstLineChars="0"/>
        <w:rPr>
          <w:rFonts w:ascii="Times New Roman" w:hAnsi="Times New Roman"/>
          <w:caps/>
          <w:sz w:val="18"/>
        </w:rPr>
      </w:pPr>
      <w:r>
        <w:rPr>
          <w:rFonts w:hint="eastAsia" w:ascii="Times New Roman" w:hAnsi="Times New Roman"/>
          <w:caps/>
          <w:sz w:val="18"/>
        </w:rPr>
        <w:t>数据来源</w:t>
      </w:r>
      <w:r>
        <w:rPr>
          <w:rFonts w:ascii="Times New Roman" w:hAnsi="Times New Roman"/>
          <w:caps/>
          <w:sz w:val="18"/>
        </w:rPr>
        <w:t>：</w:t>
      </w:r>
      <w:r>
        <w:rPr>
          <w:rFonts w:hint="eastAsia" w:ascii="Times New Roman" w:hAnsi="Times New Roman"/>
          <w:caps/>
          <w:sz w:val="18"/>
        </w:rPr>
        <w:t>重庆市大学中专毕业生就业数据库。</w:t>
      </w:r>
    </w:p>
    <w:p>
      <w:pPr>
        <w:spacing w:before="100" w:after="200" w:line="276" w:lineRule="auto"/>
        <w:ind w:firstLine="0" w:firstLineChars="0"/>
        <w:rPr>
          <w:rFonts w:ascii="Times New Roman" w:hAnsi="Times New Roman"/>
          <w:caps/>
          <w:sz w:val="18"/>
        </w:rPr>
      </w:pPr>
      <w:r>
        <w:rPr>
          <w:rFonts w:ascii="Times New Roman" w:hAnsi="Times New Roman"/>
          <w:caps/>
          <w:sz w:val="18"/>
        </w:rPr>
        <w:br w:type="page"/>
      </w:r>
    </w:p>
    <w:p>
      <w:pPr>
        <w:pStyle w:val="3"/>
      </w:pPr>
      <w:bookmarkStart w:id="59" w:name="_Toc439953131"/>
      <w:r>
        <w:rPr>
          <w:rFonts w:hint="eastAsia"/>
        </w:rPr>
        <w:t>三、</w:t>
      </w:r>
      <w:r>
        <w:t>行业分布日趋广泛</w:t>
      </w:r>
      <w:r>
        <w:rPr>
          <w:rFonts w:hint="eastAsia"/>
        </w:rPr>
        <w:t>，重点行业保持较高</w:t>
      </w:r>
      <w:r>
        <w:t>流向</w:t>
      </w:r>
      <w:bookmarkEnd w:id="59"/>
    </w:p>
    <w:p>
      <w:pPr>
        <w:pStyle w:val="16"/>
        <w:spacing w:before="156" w:after="156"/>
      </w:pPr>
      <w:r>
        <w:t>我校毕业生的就业行业分布日趋广泛</w:t>
      </w:r>
      <w:r>
        <w:rPr>
          <w:rFonts w:hint="eastAsia"/>
        </w:rPr>
        <w:t>，</w:t>
      </w:r>
      <w:r>
        <w:t>覆盖了建筑业</w:t>
      </w:r>
      <w:r>
        <w:rPr>
          <w:rFonts w:hint="eastAsia"/>
        </w:rPr>
        <w:t>，居</w:t>
      </w:r>
      <w:r>
        <w:t>民服务修理和其他服务业</w:t>
      </w:r>
      <w:r>
        <w:rPr>
          <w:rFonts w:hint="eastAsia"/>
        </w:rPr>
        <w:t>，</w:t>
      </w:r>
      <w:r>
        <w:t>交通运输</w:t>
      </w:r>
      <w:r>
        <w:rPr>
          <w:rFonts w:hint="eastAsia"/>
        </w:rPr>
        <w:t>、</w:t>
      </w:r>
      <w:r>
        <w:t>仓储和邮政业</w:t>
      </w:r>
      <w:r>
        <w:rPr>
          <w:rFonts w:hint="eastAsia"/>
        </w:rPr>
        <w:t>，</w:t>
      </w:r>
      <w:r>
        <w:t>批发和零售业</w:t>
      </w:r>
      <w:r>
        <w:rPr>
          <w:rFonts w:hint="eastAsia"/>
        </w:rPr>
        <w:t>，</w:t>
      </w:r>
      <w:r>
        <w:t>信息传输</w:t>
      </w:r>
      <w:r>
        <w:rPr>
          <w:rFonts w:hint="eastAsia"/>
        </w:rPr>
        <w:t>、</w:t>
      </w:r>
      <w:r>
        <w:t>软件和信息技术服务业</w:t>
      </w:r>
      <w:r>
        <w:rPr>
          <w:rFonts w:hint="eastAsia"/>
        </w:rPr>
        <w:t>，</w:t>
      </w:r>
      <w:r>
        <w:t>制造业</w:t>
      </w:r>
      <w:r>
        <w:rPr>
          <w:rFonts w:hint="eastAsia"/>
        </w:rPr>
        <w:t>，</w:t>
      </w:r>
      <w:r>
        <w:t>租赁和商务服务业等多种行业</w:t>
      </w:r>
      <w:r>
        <w:rPr>
          <w:rFonts w:hint="eastAsia"/>
        </w:rPr>
        <w:t>。毕</w:t>
      </w:r>
      <w:r>
        <w:rPr>
          <w:rFonts w:hint="eastAsia" w:ascii="宋体" w:hAnsi="宋体"/>
        </w:rPr>
        <w:t>业生行业分布发展多元，</w:t>
      </w:r>
      <w:r>
        <w:rPr>
          <w:rFonts w:ascii="宋体" w:hAnsi="宋体"/>
        </w:rPr>
        <w:t>但优势</w:t>
      </w:r>
      <w:r>
        <w:rPr>
          <w:rFonts w:hint="eastAsia" w:ascii="宋体" w:hAnsi="宋体"/>
        </w:rPr>
        <w:t>突出。</w:t>
      </w:r>
      <w:r>
        <w:t>从主要流向行业来看</w:t>
      </w:r>
      <w:r>
        <w:rPr>
          <w:rFonts w:hint="eastAsia"/>
        </w:rPr>
        <w:t>，201</w:t>
      </w:r>
      <w:r>
        <w:rPr>
          <w:rFonts w:hint="eastAsia"/>
          <w:lang w:val="en-US" w:eastAsia="zh-CN"/>
        </w:rPr>
        <w:t>6</w:t>
      </w:r>
      <w:r>
        <w:rPr>
          <w:rFonts w:hint="eastAsia"/>
        </w:rPr>
        <w:t>届</w:t>
      </w:r>
      <w:r>
        <w:t>毕业生在</w:t>
      </w:r>
      <w:r>
        <w:rPr>
          <w:rFonts w:hint="eastAsia"/>
        </w:rPr>
        <w:t>前三大</w:t>
      </w:r>
      <w:r>
        <w:t>行业“建筑业”</w:t>
      </w:r>
      <w:r>
        <w:rPr>
          <w:rFonts w:hint="eastAsia"/>
        </w:rPr>
        <w:t>、“居民</w:t>
      </w:r>
      <w:r>
        <w:t>服务、修理和其他服务业</w:t>
      </w:r>
      <w:r>
        <w:rPr>
          <w:rFonts w:hint="eastAsia"/>
        </w:rPr>
        <w:t>”</w:t>
      </w:r>
      <w:r>
        <w:t>、</w:t>
      </w:r>
      <w:r>
        <w:rPr>
          <w:rFonts w:hint="eastAsia"/>
        </w:rPr>
        <w:t>“</w:t>
      </w:r>
      <w:r>
        <w:t>交通运输</w:t>
      </w:r>
      <w:r>
        <w:rPr>
          <w:rFonts w:hint="eastAsia"/>
        </w:rPr>
        <w:t>、</w:t>
      </w:r>
      <w:r>
        <w:t>仓储和邮政业</w:t>
      </w:r>
      <w:r>
        <w:rPr>
          <w:rFonts w:hint="eastAsia"/>
        </w:rPr>
        <w:t>”</w:t>
      </w:r>
      <w:r>
        <w:t>的就业比例</w:t>
      </w:r>
      <w:r>
        <w:rPr>
          <w:rFonts w:hint="eastAsia"/>
        </w:rPr>
        <w:t>与201</w:t>
      </w:r>
      <w:r>
        <w:rPr>
          <w:rFonts w:hint="eastAsia"/>
          <w:lang w:val="en-US" w:eastAsia="zh-CN"/>
        </w:rPr>
        <w:t>5</w:t>
      </w:r>
      <w:r>
        <w:rPr>
          <w:rFonts w:hint="eastAsia"/>
        </w:rPr>
        <w:t>届基本</w:t>
      </w:r>
      <w:r>
        <w:t>持平</w:t>
      </w:r>
      <w:r>
        <w:rPr>
          <w:rFonts w:hint="eastAsia"/>
        </w:rPr>
        <w:t>，毕业生</w:t>
      </w:r>
      <w:r>
        <w:t>的</w:t>
      </w:r>
      <w:r>
        <w:rPr>
          <w:rFonts w:hint="eastAsia"/>
        </w:rPr>
        <w:t>就业分布与</w:t>
      </w:r>
      <w:r>
        <w:t>学校的专业设置</w:t>
      </w:r>
      <w:r>
        <w:rPr>
          <w:rFonts w:hint="eastAsia"/>
        </w:rPr>
        <w:t>以及</w:t>
      </w:r>
      <w:r>
        <w:t>人才培养定位相匹配</w:t>
      </w:r>
      <w:r>
        <w:rPr>
          <w:rFonts w:hint="eastAsia"/>
        </w:rPr>
        <w:t>。</w:t>
      </w:r>
    </w:p>
    <w:tbl>
      <w:tblPr>
        <w:tblStyle w:val="20"/>
        <w:tblW w:w="8075" w:type="dxa"/>
        <w:tblInd w:w="0" w:type="dxa"/>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
      <w:tblGrid>
        <w:gridCol w:w="3823"/>
        <w:gridCol w:w="992"/>
        <w:gridCol w:w="1134"/>
        <w:gridCol w:w="992"/>
        <w:gridCol w:w="1134"/>
      </w:tblGrid>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blHeader/>
        </w:trPr>
        <w:tc>
          <w:tcPr>
            <w:tcW w:w="8075" w:type="dxa"/>
            <w:gridSpan w:val="5"/>
            <w:tcBorders>
              <w:top w:val="single" w:color="5B9BD5" w:themeColor="accent1" w:sz="4" w:space="0"/>
              <w:left w:val="single" w:color="5B9BD5" w:themeColor="accent1" w:sz="4" w:space="0"/>
              <w:bottom w:val="single" w:color="5B9BD5" w:themeColor="accent1" w:sz="4" w:space="0"/>
              <w:right w:val="single" w:color="5B9BD5" w:themeColor="accent1" w:sz="4" w:space="0"/>
              <w:insideH w:val="single" w:sz="4" w:space="0"/>
              <w:insideV w:val="nil"/>
            </w:tcBorders>
            <w:shd w:val="clear" w:color="auto" w:fill="5B9BD5" w:themeFill="accent1"/>
            <w:vAlign w:val="center"/>
          </w:tcPr>
          <w:p>
            <w:pPr>
              <w:spacing w:line="240" w:lineRule="auto"/>
              <w:ind w:firstLine="0" w:firstLineChars="0"/>
              <w:jc w:val="center"/>
              <w:rPr>
                <w:rFonts w:ascii="Times New Roman" w:hAnsi="Times New Roman" w:eastAsia="宋体" w:cs="Times New Roman"/>
                <w:b/>
                <w:bCs/>
                <w:color w:val="FFFFFF" w:themeColor="background1"/>
                <w:sz w:val="22"/>
                <w:szCs w:val="22"/>
                <w14:textFill>
                  <w14:solidFill>
                    <w14:schemeClr w14:val="bg1"/>
                  </w14:solidFill>
                </w14:textFill>
              </w:rPr>
            </w:pPr>
            <w:r>
              <w:rPr>
                <w:rFonts w:hint="eastAsia" w:ascii="Times New Roman" w:hAnsi="Times New Roman" w:eastAsia="宋体" w:cs="Times New Roman"/>
                <w:b/>
                <w:bCs/>
                <w:color w:val="FFFFFF" w:themeColor="background1"/>
                <w:sz w:val="22"/>
                <w:szCs w:val="22"/>
                <w14:textFill>
                  <w14:solidFill>
                    <w14:schemeClr w14:val="bg1"/>
                  </w14:solidFill>
                </w14:textFill>
              </w:rPr>
              <w:t>201</w:t>
            </w:r>
            <w:r>
              <w:rPr>
                <w:rFonts w:hint="eastAsia" w:ascii="Times New Roman" w:hAnsi="Times New Roman" w:eastAsia="宋体" w:cs="Times New Roman"/>
                <w:b/>
                <w:bCs/>
                <w:color w:val="FFFFFF" w:themeColor="background1"/>
                <w:sz w:val="22"/>
                <w:szCs w:val="22"/>
                <w:lang w:val="en-US" w:eastAsia="zh-CN"/>
                <w14:textFill>
                  <w14:solidFill>
                    <w14:schemeClr w14:val="bg1"/>
                  </w14:solidFill>
                </w14:textFill>
              </w:rPr>
              <w:t>5</w:t>
            </w:r>
            <w:r>
              <w:rPr>
                <w:rFonts w:ascii="Times New Roman" w:hAnsi="Times New Roman" w:eastAsia="宋体" w:cs="Times New Roman"/>
                <w:b/>
                <w:bCs/>
                <w:color w:val="FFFFFF" w:themeColor="background1"/>
                <w:sz w:val="22"/>
                <w:szCs w:val="22"/>
                <w14:textFill>
                  <w14:solidFill>
                    <w14:schemeClr w14:val="bg1"/>
                  </w14:solidFill>
                </w14:textFill>
              </w:rPr>
              <w:t>-201</w:t>
            </w:r>
            <w:r>
              <w:rPr>
                <w:rFonts w:hint="eastAsia" w:ascii="Times New Roman" w:hAnsi="Times New Roman" w:eastAsia="宋体" w:cs="Times New Roman"/>
                <w:b/>
                <w:bCs/>
                <w:color w:val="FFFFFF" w:themeColor="background1"/>
                <w:sz w:val="22"/>
                <w:szCs w:val="22"/>
                <w:lang w:val="en-US" w:eastAsia="zh-CN"/>
                <w14:textFill>
                  <w14:solidFill>
                    <w14:schemeClr w14:val="bg1"/>
                  </w14:solidFill>
                </w14:textFill>
              </w:rPr>
              <w:t>6</w:t>
            </w:r>
            <w:r>
              <w:rPr>
                <w:rFonts w:hint="eastAsia" w:ascii="Times New Roman" w:hAnsi="Times New Roman" w:eastAsia="宋体" w:cs="Times New Roman"/>
                <w:b/>
                <w:bCs/>
                <w:color w:val="FFFFFF" w:themeColor="background1"/>
                <w:sz w:val="22"/>
                <w:szCs w:val="22"/>
                <w14:textFill>
                  <w14:solidFill>
                    <w14:schemeClr w14:val="bg1"/>
                  </w14:solidFill>
                </w14:textFill>
              </w:rPr>
              <w:t>届</w:t>
            </w:r>
            <w:r>
              <w:rPr>
                <w:rFonts w:ascii="Times New Roman" w:hAnsi="Times New Roman" w:eastAsia="宋体" w:cs="Times New Roman"/>
                <w:b/>
                <w:bCs/>
                <w:color w:val="FFFFFF" w:themeColor="background1"/>
                <w:sz w:val="22"/>
                <w:szCs w:val="22"/>
                <w14:textFill>
                  <w14:solidFill>
                    <w14:schemeClr w14:val="bg1"/>
                  </w14:solidFill>
                </w14:textFill>
              </w:rPr>
              <w:t>毕业生</w:t>
            </w:r>
            <w:r>
              <w:rPr>
                <w:rFonts w:hint="eastAsia" w:ascii="Times New Roman" w:hAnsi="Times New Roman" w:eastAsia="宋体" w:cs="Times New Roman"/>
                <w:b/>
                <w:bCs/>
                <w:color w:val="FFFFFF" w:themeColor="background1"/>
                <w:sz w:val="22"/>
                <w:szCs w:val="22"/>
                <w14:textFill>
                  <w14:solidFill>
                    <w14:schemeClr w14:val="bg1"/>
                  </w14:solidFill>
                </w14:textFill>
              </w:rPr>
              <w:t>主要流向</w:t>
            </w:r>
            <w:r>
              <w:rPr>
                <w:rFonts w:ascii="Times New Roman" w:hAnsi="Times New Roman" w:eastAsia="宋体" w:cs="Times New Roman"/>
                <w:b/>
                <w:bCs/>
                <w:color w:val="FFFFFF" w:themeColor="background1"/>
                <w:sz w:val="22"/>
                <w:szCs w:val="22"/>
                <w14:textFill>
                  <w14:solidFill>
                    <w14:schemeClr w14:val="bg1"/>
                  </w14:solidFill>
                </w14:textFill>
              </w:rPr>
              <w:t>行业</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vMerge w:val="restart"/>
            <w:shd w:val="clear" w:color="auto" w:fill="DEEAF6" w:themeFill="accent1" w:themeFillTint="33"/>
            <w:vAlign w:val="center"/>
          </w:tcPr>
          <w:p>
            <w:pPr>
              <w:spacing w:line="240" w:lineRule="auto"/>
              <w:ind w:firstLine="0" w:firstLineChars="0"/>
              <w:jc w:val="center"/>
              <w:rPr>
                <w:rFonts w:ascii="宋体" w:hAnsi="宋体" w:eastAsia="宋体" w:cs="宋体"/>
                <w:b/>
                <w:bCs/>
                <w:color w:val="000000"/>
                <w:sz w:val="22"/>
                <w:szCs w:val="22"/>
              </w:rPr>
            </w:pPr>
            <w:r>
              <w:rPr>
                <w:rFonts w:hint="eastAsia" w:ascii="宋体" w:hAnsi="宋体" w:eastAsia="宋体" w:cs="宋体"/>
                <w:b/>
                <w:bCs/>
                <w:color w:val="000000"/>
                <w:sz w:val="22"/>
                <w:szCs w:val="22"/>
              </w:rPr>
              <w:t>就业</w:t>
            </w:r>
            <w:r>
              <w:rPr>
                <w:rFonts w:ascii="宋体" w:hAnsi="宋体" w:eastAsia="宋体" w:cs="宋体"/>
                <w:b/>
                <w:bCs/>
                <w:color w:val="000000"/>
                <w:sz w:val="22"/>
                <w:szCs w:val="22"/>
              </w:rPr>
              <w:t>行业</w:t>
            </w:r>
          </w:p>
        </w:tc>
        <w:tc>
          <w:tcPr>
            <w:tcW w:w="2126" w:type="dxa"/>
            <w:gridSpan w:val="2"/>
            <w:shd w:val="clear" w:color="auto" w:fill="DEEAF6" w:themeFill="accent1" w:themeFillTint="33"/>
            <w:vAlign w:val="center"/>
          </w:tcPr>
          <w:p>
            <w:pPr>
              <w:spacing w:line="240" w:lineRule="auto"/>
              <w:ind w:firstLine="0" w:firstLineChars="0"/>
              <w:jc w:val="center"/>
              <w:rPr>
                <w:rFonts w:ascii="Times New Roman" w:hAnsi="Times New Roman" w:cs="Times New Roman"/>
                <w:b/>
                <w:caps/>
                <w:sz w:val="22"/>
                <w:szCs w:val="22"/>
              </w:rPr>
            </w:pPr>
            <w:r>
              <w:rPr>
                <w:rFonts w:ascii="Times New Roman" w:hAnsi="Times New Roman" w:cs="Times New Roman"/>
                <w:b/>
                <w:caps/>
                <w:sz w:val="22"/>
                <w:szCs w:val="22"/>
              </w:rPr>
              <w:t>201</w:t>
            </w:r>
            <w:r>
              <w:rPr>
                <w:rFonts w:hint="eastAsia" w:ascii="Times New Roman" w:hAnsi="Times New Roman" w:cs="Times New Roman"/>
                <w:b/>
                <w:caps/>
                <w:sz w:val="22"/>
                <w:szCs w:val="22"/>
                <w:lang w:val="en-US" w:eastAsia="zh-CN"/>
              </w:rPr>
              <w:t>5</w:t>
            </w:r>
            <w:r>
              <w:rPr>
                <w:rFonts w:ascii="Times New Roman" w:hAnsi="Times New Roman" w:cs="Times New Roman"/>
                <w:b/>
                <w:caps/>
                <w:sz w:val="22"/>
                <w:szCs w:val="22"/>
              </w:rPr>
              <w:t>届</w:t>
            </w:r>
          </w:p>
        </w:tc>
        <w:tc>
          <w:tcPr>
            <w:tcW w:w="2126" w:type="dxa"/>
            <w:gridSpan w:val="2"/>
            <w:shd w:val="clear" w:color="auto" w:fill="DEEAF6" w:themeFill="accent1" w:themeFillTint="33"/>
            <w:vAlign w:val="center"/>
          </w:tcPr>
          <w:p>
            <w:pPr>
              <w:spacing w:line="240" w:lineRule="auto"/>
              <w:ind w:firstLine="0" w:firstLineChars="0"/>
              <w:jc w:val="center"/>
              <w:rPr>
                <w:rFonts w:ascii="Times New Roman" w:hAnsi="Times New Roman" w:cs="Times New Roman"/>
                <w:b/>
                <w:caps/>
                <w:sz w:val="22"/>
                <w:szCs w:val="22"/>
              </w:rPr>
            </w:pPr>
            <w:r>
              <w:rPr>
                <w:rFonts w:ascii="Times New Roman" w:hAnsi="Times New Roman" w:cs="Times New Roman"/>
                <w:b/>
                <w:caps/>
                <w:sz w:val="22"/>
                <w:szCs w:val="22"/>
              </w:rPr>
              <w:t>201</w:t>
            </w:r>
            <w:r>
              <w:rPr>
                <w:rFonts w:hint="eastAsia" w:ascii="Times New Roman" w:hAnsi="Times New Roman" w:cs="Times New Roman"/>
                <w:b/>
                <w:caps/>
                <w:sz w:val="22"/>
                <w:szCs w:val="22"/>
                <w:lang w:val="en-US" w:eastAsia="zh-CN"/>
              </w:rPr>
              <w:t>6</w:t>
            </w:r>
            <w:r>
              <w:rPr>
                <w:rFonts w:ascii="Times New Roman" w:hAnsi="Times New Roman" w:cs="Times New Roman"/>
                <w:b/>
                <w:caps/>
                <w:sz w:val="22"/>
                <w:szCs w:val="22"/>
              </w:rPr>
              <w:t>届</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vMerge w:val="continue"/>
            <w:vAlign w:val="center"/>
          </w:tcPr>
          <w:p>
            <w:pPr>
              <w:spacing w:line="240" w:lineRule="auto"/>
              <w:ind w:firstLine="0" w:firstLineChars="0"/>
              <w:jc w:val="center"/>
              <w:rPr>
                <w:rFonts w:ascii="宋体" w:hAnsi="宋体" w:eastAsia="宋体" w:cs="宋体"/>
                <w:b w:val="0"/>
                <w:bCs/>
                <w:color w:val="000000"/>
                <w:sz w:val="22"/>
                <w:szCs w:val="22"/>
              </w:rPr>
            </w:pPr>
          </w:p>
        </w:tc>
        <w:tc>
          <w:tcPr>
            <w:tcW w:w="992" w:type="dxa"/>
            <w:vAlign w:val="center"/>
          </w:tcPr>
          <w:p>
            <w:pPr>
              <w:spacing w:line="240" w:lineRule="auto"/>
              <w:ind w:firstLine="0" w:firstLineChars="0"/>
              <w:jc w:val="center"/>
              <w:rPr>
                <w:rFonts w:ascii="Times New Roman" w:hAnsi="Times New Roman" w:cs="Times New Roman"/>
                <w:b/>
                <w:caps/>
                <w:sz w:val="22"/>
                <w:szCs w:val="22"/>
              </w:rPr>
            </w:pPr>
            <w:r>
              <w:rPr>
                <w:rFonts w:ascii="Times New Roman" w:hAnsi="Times New Roman" w:cs="Times New Roman"/>
                <w:b/>
                <w:caps/>
                <w:sz w:val="22"/>
                <w:szCs w:val="22"/>
              </w:rPr>
              <w:t>人数</w:t>
            </w:r>
          </w:p>
        </w:tc>
        <w:tc>
          <w:tcPr>
            <w:tcW w:w="1134" w:type="dxa"/>
            <w:vAlign w:val="center"/>
          </w:tcPr>
          <w:p>
            <w:pPr>
              <w:spacing w:line="240" w:lineRule="auto"/>
              <w:ind w:firstLine="0" w:firstLineChars="0"/>
              <w:jc w:val="center"/>
              <w:rPr>
                <w:rFonts w:ascii="Times New Roman" w:hAnsi="Times New Roman" w:cs="Times New Roman"/>
                <w:b/>
                <w:caps/>
                <w:sz w:val="22"/>
                <w:szCs w:val="22"/>
              </w:rPr>
            </w:pPr>
            <w:r>
              <w:rPr>
                <w:rFonts w:ascii="Times New Roman" w:hAnsi="Times New Roman" w:cs="Times New Roman"/>
                <w:b/>
                <w:caps/>
                <w:sz w:val="22"/>
                <w:szCs w:val="22"/>
              </w:rPr>
              <w:t>比例</w:t>
            </w:r>
          </w:p>
        </w:tc>
        <w:tc>
          <w:tcPr>
            <w:tcW w:w="992" w:type="dxa"/>
            <w:vAlign w:val="center"/>
          </w:tcPr>
          <w:p>
            <w:pPr>
              <w:spacing w:line="240" w:lineRule="auto"/>
              <w:ind w:firstLine="0" w:firstLineChars="0"/>
              <w:jc w:val="center"/>
              <w:rPr>
                <w:rFonts w:ascii="Times New Roman" w:hAnsi="Times New Roman" w:cs="Times New Roman"/>
                <w:b/>
                <w:caps/>
                <w:sz w:val="22"/>
                <w:szCs w:val="22"/>
              </w:rPr>
            </w:pPr>
            <w:r>
              <w:rPr>
                <w:rFonts w:ascii="Times New Roman" w:hAnsi="Times New Roman" w:cs="Times New Roman"/>
                <w:b/>
                <w:caps/>
                <w:sz w:val="22"/>
                <w:szCs w:val="22"/>
              </w:rPr>
              <w:t>人数</w:t>
            </w:r>
          </w:p>
        </w:tc>
        <w:tc>
          <w:tcPr>
            <w:tcW w:w="1134" w:type="dxa"/>
            <w:vAlign w:val="center"/>
          </w:tcPr>
          <w:p>
            <w:pPr>
              <w:spacing w:line="240" w:lineRule="auto"/>
              <w:ind w:firstLine="0" w:firstLineChars="0"/>
              <w:jc w:val="center"/>
              <w:rPr>
                <w:rFonts w:ascii="Times New Roman" w:hAnsi="Times New Roman" w:cs="Times New Roman"/>
                <w:b/>
                <w:caps/>
                <w:sz w:val="22"/>
                <w:szCs w:val="22"/>
              </w:rPr>
            </w:pPr>
            <w:r>
              <w:rPr>
                <w:rFonts w:ascii="Times New Roman" w:hAnsi="Times New Roman" w:cs="Times New Roman"/>
                <w:b/>
                <w:caps/>
                <w:sz w:val="22"/>
                <w:szCs w:val="22"/>
              </w:rPr>
              <w:t>比例</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建筑业</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1148</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52.76</w:t>
            </w:r>
            <w:r>
              <w:rPr>
                <w:rFonts w:hint="eastAsia" w:ascii="Times New Roman" w:hAnsi="Times New Roman" w:eastAsia="楷体" w:cs="Times New Roman"/>
                <w:caps/>
                <w:sz w:val="22"/>
                <w:szCs w:val="22"/>
              </w:rPr>
              <w:t>%</w:t>
            </w:r>
          </w:p>
        </w:tc>
        <w:tc>
          <w:tcPr>
            <w:tcW w:w="992"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1</w:t>
            </w:r>
            <w:r>
              <w:rPr>
                <w:rFonts w:hint="eastAsia" w:ascii="Times New Roman" w:hAnsi="Times New Roman" w:eastAsia="楷体" w:cs="Times New Roman"/>
                <w:caps/>
                <w:sz w:val="22"/>
                <w:szCs w:val="22"/>
                <w:lang w:val="en-US" w:eastAsia="zh-CN"/>
              </w:rPr>
              <w:t>227</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48.36</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居民服务、修理和其他服务业</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262</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12.04</w:t>
            </w:r>
            <w:r>
              <w:rPr>
                <w:rFonts w:hint="eastAsia" w:ascii="Times New Roman" w:hAnsi="Times New Roman" w:eastAsia="楷体" w:cs="Times New Roman"/>
                <w:caps/>
                <w:sz w:val="22"/>
                <w:szCs w:val="22"/>
              </w:rPr>
              <w:t>%</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208</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8.20</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交通运输、仓储和邮政业</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217</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9.97</w:t>
            </w:r>
            <w:r>
              <w:rPr>
                <w:rFonts w:hint="eastAsia" w:ascii="Times New Roman" w:hAnsi="Times New Roman" w:eastAsia="楷体" w:cs="Times New Roman"/>
                <w:caps/>
                <w:sz w:val="22"/>
                <w:szCs w:val="22"/>
              </w:rPr>
              <w:t>%</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211</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8.32</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批发和零售业</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115</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5.28</w:t>
            </w:r>
            <w:r>
              <w:rPr>
                <w:rFonts w:hint="eastAsia" w:ascii="Times New Roman" w:hAnsi="Times New Roman" w:eastAsia="楷体" w:cs="Times New Roman"/>
                <w:caps/>
                <w:sz w:val="22"/>
                <w:szCs w:val="22"/>
              </w:rPr>
              <w:t>%</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120</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4.73</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信息传输、软件和信息技术服务业</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91</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4.18</w:t>
            </w:r>
            <w:r>
              <w:rPr>
                <w:rFonts w:hint="eastAsia" w:ascii="Times New Roman" w:hAnsi="Times New Roman" w:eastAsia="楷体" w:cs="Times New Roman"/>
                <w:caps/>
                <w:sz w:val="22"/>
                <w:szCs w:val="22"/>
              </w:rPr>
              <w:t>%</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126</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4.97</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制造业</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70</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3.22</w:t>
            </w:r>
            <w:r>
              <w:rPr>
                <w:rFonts w:hint="eastAsia" w:ascii="Times New Roman" w:hAnsi="Times New Roman" w:eastAsia="楷体" w:cs="Times New Roman"/>
                <w:caps/>
                <w:sz w:val="22"/>
                <w:szCs w:val="22"/>
              </w:rPr>
              <w:t>%</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169</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6.66</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租赁和商务服务业</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70</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3.22</w:t>
            </w:r>
            <w:r>
              <w:rPr>
                <w:rFonts w:hint="eastAsia" w:ascii="Times New Roman" w:hAnsi="Times New Roman" w:eastAsia="楷体" w:cs="Times New Roman"/>
                <w:caps/>
                <w:sz w:val="22"/>
                <w:szCs w:val="22"/>
              </w:rPr>
              <w:t>%</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100</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3.94</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房地产业</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28</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1.</w:t>
            </w:r>
            <w:r>
              <w:rPr>
                <w:rFonts w:hint="eastAsia" w:ascii="Times New Roman" w:hAnsi="Times New Roman" w:eastAsia="楷体" w:cs="Times New Roman"/>
                <w:caps/>
                <w:sz w:val="22"/>
                <w:szCs w:val="22"/>
                <w:lang w:val="en-US" w:eastAsia="zh-CN"/>
              </w:rPr>
              <w:t>29</w:t>
            </w:r>
            <w:r>
              <w:rPr>
                <w:rFonts w:hint="eastAsia" w:ascii="Times New Roman" w:hAnsi="Times New Roman" w:eastAsia="楷体" w:cs="Times New Roman"/>
                <w:caps/>
                <w:sz w:val="22"/>
                <w:szCs w:val="22"/>
              </w:rPr>
              <w:t>%</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68</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2.68</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金融业</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26</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1.19%</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69</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2.72</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公共管理、社会保障和社会组织</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25</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1.15</w:t>
            </w:r>
            <w:r>
              <w:rPr>
                <w:rFonts w:hint="eastAsia" w:ascii="Times New Roman" w:hAnsi="Times New Roman" w:eastAsia="楷体" w:cs="Times New Roman"/>
                <w:caps/>
                <w:sz w:val="22"/>
                <w:szCs w:val="22"/>
              </w:rPr>
              <w:t>%</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32</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1.26</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教育</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20</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0.</w:t>
            </w:r>
            <w:r>
              <w:rPr>
                <w:rFonts w:hint="eastAsia" w:ascii="Times New Roman" w:hAnsi="Times New Roman" w:eastAsia="楷体" w:cs="Times New Roman"/>
                <w:caps/>
                <w:sz w:val="22"/>
                <w:szCs w:val="22"/>
                <w:lang w:val="en-US" w:eastAsia="zh-CN"/>
              </w:rPr>
              <w:t>92</w:t>
            </w:r>
            <w:r>
              <w:rPr>
                <w:rFonts w:hint="eastAsia" w:ascii="Times New Roman" w:hAnsi="Times New Roman" w:eastAsia="楷体" w:cs="Times New Roman"/>
                <w:caps/>
                <w:sz w:val="22"/>
                <w:szCs w:val="22"/>
              </w:rPr>
              <w:t>%</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38</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1.50</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农、林、牧、渔业</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20</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0.</w:t>
            </w:r>
            <w:r>
              <w:rPr>
                <w:rFonts w:hint="eastAsia" w:ascii="Times New Roman" w:hAnsi="Times New Roman" w:eastAsia="楷体" w:cs="Times New Roman"/>
                <w:caps/>
                <w:sz w:val="22"/>
                <w:szCs w:val="22"/>
                <w:lang w:val="en-US" w:eastAsia="zh-CN"/>
              </w:rPr>
              <w:t>92</w:t>
            </w:r>
            <w:r>
              <w:rPr>
                <w:rFonts w:hint="eastAsia" w:ascii="Times New Roman" w:hAnsi="Times New Roman" w:eastAsia="楷体" w:cs="Times New Roman"/>
                <w:caps/>
                <w:sz w:val="22"/>
                <w:szCs w:val="22"/>
              </w:rPr>
              <w:t>%</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26</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1.02</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水利、环境和公共设施管理业</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20</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0.</w:t>
            </w:r>
            <w:r>
              <w:rPr>
                <w:rFonts w:hint="eastAsia" w:ascii="Times New Roman" w:hAnsi="Times New Roman" w:eastAsia="楷体" w:cs="Times New Roman"/>
                <w:caps/>
                <w:sz w:val="22"/>
                <w:szCs w:val="22"/>
                <w:lang w:val="en-US" w:eastAsia="zh-CN"/>
              </w:rPr>
              <w:t>92</w:t>
            </w:r>
            <w:r>
              <w:rPr>
                <w:rFonts w:hint="eastAsia" w:ascii="Times New Roman" w:hAnsi="Times New Roman" w:eastAsia="楷体" w:cs="Times New Roman"/>
                <w:caps/>
                <w:sz w:val="22"/>
                <w:szCs w:val="22"/>
              </w:rPr>
              <w:t>%</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26</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1.02</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住宿和餐饮业</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19</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0.87</w:t>
            </w:r>
            <w:r>
              <w:rPr>
                <w:rFonts w:hint="eastAsia" w:ascii="Times New Roman" w:hAnsi="Times New Roman" w:eastAsia="楷体" w:cs="Times New Roman"/>
                <w:caps/>
                <w:sz w:val="22"/>
                <w:szCs w:val="22"/>
              </w:rPr>
              <w:t>%</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28</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1.10</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卫生和社会工作</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16</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0.</w:t>
            </w:r>
            <w:r>
              <w:rPr>
                <w:rFonts w:hint="eastAsia" w:ascii="Times New Roman" w:hAnsi="Times New Roman" w:eastAsia="楷体" w:cs="Times New Roman"/>
                <w:caps/>
                <w:sz w:val="22"/>
                <w:szCs w:val="22"/>
                <w:lang w:val="en-US" w:eastAsia="zh-CN"/>
              </w:rPr>
              <w:t>74</w:t>
            </w:r>
            <w:r>
              <w:rPr>
                <w:rFonts w:hint="eastAsia" w:ascii="Times New Roman" w:hAnsi="Times New Roman" w:eastAsia="楷体" w:cs="Times New Roman"/>
                <w:caps/>
                <w:sz w:val="22"/>
                <w:szCs w:val="22"/>
              </w:rPr>
              <w:t>%</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15</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0.59</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文化、体育和娱乐业</w:t>
            </w:r>
          </w:p>
        </w:tc>
        <w:tc>
          <w:tcPr>
            <w:tcW w:w="992"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1</w:t>
            </w:r>
            <w:r>
              <w:rPr>
                <w:rFonts w:hint="eastAsia" w:ascii="Times New Roman" w:hAnsi="Times New Roman" w:eastAsia="楷体" w:cs="Times New Roman"/>
                <w:caps/>
                <w:sz w:val="22"/>
                <w:szCs w:val="22"/>
                <w:lang w:val="en-US" w:eastAsia="zh-CN"/>
              </w:rPr>
              <w:t>5</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0.</w:t>
            </w:r>
            <w:r>
              <w:rPr>
                <w:rFonts w:hint="eastAsia" w:ascii="Times New Roman" w:hAnsi="Times New Roman" w:eastAsia="楷体" w:cs="Times New Roman"/>
                <w:caps/>
                <w:sz w:val="22"/>
                <w:szCs w:val="22"/>
                <w:lang w:val="en-US" w:eastAsia="zh-CN"/>
              </w:rPr>
              <w:t>69</w:t>
            </w:r>
            <w:r>
              <w:rPr>
                <w:rFonts w:hint="eastAsia" w:ascii="Times New Roman" w:hAnsi="Times New Roman" w:eastAsia="楷体" w:cs="Times New Roman"/>
                <w:caps/>
                <w:sz w:val="22"/>
                <w:szCs w:val="22"/>
              </w:rPr>
              <w:t>%</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49</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1.93</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电力、热力、燃气及水生产和供应业</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8</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0.</w:t>
            </w:r>
            <w:r>
              <w:rPr>
                <w:rFonts w:hint="eastAsia" w:ascii="Times New Roman" w:hAnsi="Times New Roman" w:eastAsia="楷体" w:cs="Times New Roman"/>
                <w:caps/>
                <w:sz w:val="22"/>
                <w:szCs w:val="22"/>
                <w:lang w:val="en-US" w:eastAsia="zh-CN"/>
              </w:rPr>
              <w:t>37</w:t>
            </w:r>
            <w:r>
              <w:rPr>
                <w:rFonts w:hint="eastAsia" w:ascii="Times New Roman" w:hAnsi="Times New Roman" w:eastAsia="楷体" w:cs="Times New Roman"/>
                <w:caps/>
                <w:sz w:val="22"/>
                <w:szCs w:val="22"/>
              </w:rPr>
              <w:t>%</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20</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0.79</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采矿业</w:t>
            </w:r>
          </w:p>
        </w:tc>
        <w:tc>
          <w:tcPr>
            <w:tcW w:w="992"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3</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0.</w:t>
            </w:r>
            <w:r>
              <w:rPr>
                <w:rFonts w:hint="eastAsia" w:ascii="Times New Roman" w:hAnsi="Times New Roman" w:eastAsia="楷体" w:cs="Times New Roman"/>
                <w:caps/>
                <w:sz w:val="22"/>
                <w:szCs w:val="22"/>
                <w:lang w:val="en-US" w:eastAsia="zh-CN"/>
              </w:rPr>
              <w:t>14</w:t>
            </w:r>
            <w:r>
              <w:rPr>
                <w:rFonts w:hint="eastAsia" w:ascii="Times New Roman" w:hAnsi="Times New Roman" w:eastAsia="楷体" w:cs="Times New Roman"/>
                <w:caps/>
                <w:sz w:val="22"/>
                <w:szCs w:val="22"/>
              </w:rPr>
              <w:t>%</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3</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0.12</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程序设计</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1</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0.0</w:t>
            </w:r>
            <w:r>
              <w:rPr>
                <w:rFonts w:hint="eastAsia" w:ascii="Times New Roman" w:hAnsi="Times New Roman" w:eastAsia="楷体" w:cs="Times New Roman"/>
                <w:caps/>
                <w:sz w:val="22"/>
                <w:szCs w:val="22"/>
                <w:lang w:val="en-US" w:eastAsia="zh-CN"/>
              </w:rPr>
              <w:t>5</w:t>
            </w:r>
            <w:r>
              <w:rPr>
                <w:rFonts w:hint="eastAsia" w:ascii="Times New Roman" w:hAnsi="Times New Roman" w:eastAsia="楷体" w:cs="Times New Roman"/>
                <w:caps/>
                <w:sz w:val="22"/>
                <w:szCs w:val="22"/>
              </w:rPr>
              <w:t>%</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0</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0.0</w:t>
            </w:r>
            <w:r>
              <w:rPr>
                <w:rFonts w:hint="eastAsia" w:ascii="Times New Roman" w:hAnsi="Times New Roman" w:eastAsia="楷体" w:cs="Times New Roman"/>
                <w:caps/>
                <w:sz w:val="22"/>
                <w:szCs w:val="22"/>
                <w:lang w:val="en-US" w:eastAsia="zh-CN"/>
              </w:rPr>
              <w:t>0</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科学研究和技术服务业</w:t>
            </w:r>
          </w:p>
        </w:tc>
        <w:tc>
          <w:tcPr>
            <w:tcW w:w="992"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1</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0.05%</w:t>
            </w:r>
          </w:p>
        </w:tc>
        <w:tc>
          <w:tcPr>
            <w:tcW w:w="992" w:type="dxa"/>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2</w:t>
            </w:r>
          </w:p>
        </w:tc>
        <w:tc>
          <w:tcPr>
            <w:tcW w:w="1134" w:type="dxa"/>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lang w:val="en-US" w:eastAsia="zh-CN"/>
              </w:rPr>
              <w:t>0.08</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shd w:val="clear" w:color="auto" w:fill="DEEAF6" w:themeFill="accent1" w:themeFillTint="33"/>
            <w:vAlign w:val="center"/>
          </w:tcPr>
          <w:p>
            <w:pPr>
              <w:spacing w:line="240" w:lineRule="auto"/>
              <w:ind w:firstLine="0" w:firstLineChars="0"/>
              <w:jc w:val="center"/>
              <w:rPr>
                <w:rFonts w:ascii="宋体" w:hAnsi="宋体" w:eastAsia="宋体" w:cs="宋体"/>
                <w:b w:val="0"/>
                <w:bCs/>
                <w:color w:val="000000"/>
                <w:sz w:val="22"/>
                <w:szCs w:val="22"/>
              </w:rPr>
            </w:pPr>
            <w:r>
              <w:rPr>
                <w:rFonts w:hint="eastAsia" w:ascii="宋体" w:hAnsi="宋体" w:eastAsia="宋体" w:cs="宋体"/>
                <w:b w:val="0"/>
                <w:bCs/>
                <w:color w:val="000000"/>
                <w:sz w:val="22"/>
                <w:szCs w:val="22"/>
              </w:rPr>
              <w:t>高新科技</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1</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0.0</w:t>
            </w:r>
            <w:r>
              <w:rPr>
                <w:rFonts w:hint="eastAsia" w:ascii="Times New Roman" w:hAnsi="Times New Roman" w:eastAsia="楷体" w:cs="Times New Roman"/>
                <w:caps/>
                <w:sz w:val="22"/>
                <w:szCs w:val="22"/>
                <w:lang w:val="en-US" w:eastAsia="zh-CN"/>
              </w:rPr>
              <w:t>5</w:t>
            </w:r>
            <w:r>
              <w:rPr>
                <w:rFonts w:hint="eastAsia" w:ascii="Times New Roman" w:hAnsi="Times New Roman" w:eastAsia="楷体" w:cs="Times New Roman"/>
                <w:caps/>
                <w:sz w:val="22"/>
                <w:szCs w:val="22"/>
              </w:rPr>
              <w:t>%</w:t>
            </w:r>
          </w:p>
        </w:tc>
        <w:tc>
          <w:tcPr>
            <w:tcW w:w="992" w:type="dxa"/>
            <w:shd w:val="clear" w:color="auto" w:fill="DEEAF6" w:themeFill="accent1" w:themeFillTint="33"/>
            <w:vAlign w:val="center"/>
          </w:tcPr>
          <w:p>
            <w:pPr>
              <w:spacing w:line="240" w:lineRule="auto"/>
              <w:ind w:firstLine="0" w:firstLineChars="0"/>
              <w:jc w:val="center"/>
              <w:rPr>
                <w:rFonts w:hint="eastAsia" w:ascii="Times New Roman" w:hAnsi="Times New Roman" w:eastAsia="楷体" w:cs="Times New Roman"/>
                <w:caps/>
                <w:sz w:val="22"/>
                <w:szCs w:val="22"/>
                <w:lang w:val="en-US" w:eastAsia="zh-CN"/>
              </w:rPr>
            </w:pPr>
            <w:r>
              <w:rPr>
                <w:rFonts w:hint="eastAsia" w:ascii="Times New Roman" w:hAnsi="Times New Roman" w:eastAsia="楷体" w:cs="Times New Roman"/>
                <w:caps/>
                <w:sz w:val="22"/>
                <w:szCs w:val="22"/>
                <w:lang w:val="en-US" w:eastAsia="zh-CN"/>
              </w:rPr>
              <w:t>0</w:t>
            </w:r>
          </w:p>
        </w:tc>
        <w:tc>
          <w:tcPr>
            <w:tcW w:w="1134" w:type="dxa"/>
            <w:shd w:val="clear" w:color="auto" w:fill="DEEAF6" w:themeFill="accent1" w:themeFillTint="33"/>
            <w:vAlign w:val="center"/>
          </w:tcPr>
          <w:p>
            <w:pPr>
              <w:spacing w:line="240" w:lineRule="auto"/>
              <w:ind w:firstLine="0" w:firstLineChars="0"/>
              <w:jc w:val="center"/>
              <w:rPr>
                <w:rFonts w:ascii="Times New Roman" w:hAnsi="Times New Roman" w:eastAsia="楷体" w:cs="Times New Roman"/>
                <w:caps/>
                <w:sz w:val="22"/>
                <w:szCs w:val="22"/>
              </w:rPr>
            </w:pPr>
            <w:r>
              <w:rPr>
                <w:rFonts w:hint="eastAsia" w:ascii="Times New Roman" w:hAnsi="Times New Roman" w:eastAsia="楷体" w:cs="Times New Roman"/>
                <w:caps/>
                <w:sz w:val="22"/>
                <w:szCs w:val="22"/>
              </w:rPr>
              <w:t>0.0</w:t>
            </w:r>
            <w:r>
              <w:rPr>
                <w:rFonts w:hint="eastAsia" w:ascii="Times New Roman" w:hAnsi="Times New Roman" w:eastAsia="楷体" w:cs="Times New Roman"/>
                <w:caps/>
                <w:sz w:val="22"/>
                <w:szCs w:val="22"/>
                <w:lang w:val="en-US" w:eastAsia="zh-CN"/>
              </w:rPr>
              <w:t>0</w:t>
            </w:r>
            <w:r>
              <w:rPr>
                <w:rFonts w:hint="eastAsia" w:ascii="Times New Roman" w:hAnsi="Times New Roman" w:eastAsia="楷体" w:cs="Times New Roman"/>
                <w:caps/>
                <w:sz w:val="22"/>
                <w:szCs w:val="22"/>
              </w:rPr>
              <w:t>%</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88" w:hRule="atLeast"/>
        </w:trPr>
        <w:tc>
          <w:tcPr>
            <w:tcW w:w="3823" w:type="dxa"/>
            <w:tcBorders>
              <w:top w:val="double" w:color="5B9BD5" w:themeColor="accent1" w:sz="4" w:space="0"/>
            </w:tcBorders>
            <w:vAlign w:val="center"/>
          </w:tcPr>
          <w:p>
            <w:pPr>
              <w:spacing w:line="240" w:lineRule="auto"/>
              <w:ind w:firstLine="0" w:firstLineChars="0"/>
              <w:jc w:val="center"/>
              <w:rPr>
                <w:rFonts w:ascii="宋体" w:hAnsi="宋体" w:eastAsia="宋体" w:cs="宋体"/>
                <w:b/>
                <w:bCs/>
                <w:color w:val="000000"/>
                <w:sz w:val="22"/>
                <w:szCs w:val="22"/>
              </w:rPr>
            </w:pPr>
            <w:r>
              <w:rPr>
                <w:rFonts w:hint="eastAsia" w:ascii="宋体" w:hAnsi="宋体" w:eastAsia="宋体" w:cs="宋体"/>
                <w:b/>
                <w:bCs/>
                <w:color w:val="000000"/>
                <w:sz w:val="22"/>
                <w:szCs w:val="22"/>
              </w:rPr>
              <w:t>总计</w:t>
            </w:r>
          </w:p>
        </w:tc>
        <w:tc>
          <w:tcPr>
            <w:tcW w:w="992" w:type="dxa"/>
            <w:tcBorders>
              <w:top w:val="double" w:color="5B9BD5" w:themeColor="accent1" w:sz="4" w:space="0"/>
            </w:tcBorders>
            <w:vAlign w:val="center"/>
          </w:tcPr>
          <w:p>
            <w:pPr>
              <w:spacing w:line="240" w:lineRule="auto"/>
              <w:ind w:firstLine="0" w:firstLineChars="0"/>
              <w:jc w:val="center"/>
              <w:rPr>
                <w:rFonts w:hint="eastAsia" w:ascii="Times New Roman" w:hAnsi="Times New Roman" w:eastAsia="楷体" w:cs="Times New Roman"/>
                <w:b w:val="0"/>
                <w:bCs w:val="0"/>
                <w:caps/>
                <w:sz w:val="22"/>
                <w:szCs w:val="22"/>
                <w:lang w:val="en-US" w:eastAsia="zh-CN"/>
              </w:rPr>
            </w:pPr>
            <w:r>
              <w:rPr>
                <w:rFonts w:hint="eastAsia" w:ascii="Times New Roman" w:hAnsi="Times New Roman" w:eastAsia="楷体" w:cs="Times New Roman"/>
                <w:b w:val="0"/>
                <w:bCs w:val="0"/>
                <w:caps/>
                <w:sz w:val="22"/>
                <w:szCs w:val="22"/>
                <w:lang w:val="en-US" w:eastAsia="zh-CN"/>
              </w:rPr>
              <w:t>2176</w:t>
            </w:r>
          </w:p>
        </w:tc>
        <w:tc>
          <w:tcPr>
            <w:tcW w:w="1134" w:type="dxa"/>
            <w:tcBorders>
              <w:top w:val="double" w:color="5B9BD5" w:themeColor="accent1" w:sz="4" w:space="0"/>
            </w:tcBorders>
            <w:vAlign w:val="center"/>
          </w:tcPr>
          <w:p>
            <w:pPr>
              <w:spacing w:line="240" w:lineRule="auto"/>
              <w:ind w:firstLine="0" w:firstLineChars="0"/>
              <w:jc w:val="center"/>
              <w:rPr>
                <w:rFonts w:ascii="Times New Roman" w:hAnsi="Times New Roman" w:eastAsia="楷体" w:cs="Times New Roman"/>
                <w:b w:val="0"/>
                <w:bCs w:val="0"/>
                <w:caps/>
                <w:sz w:val="22"/>
                <w:szCs w:val="22"/>
              </w:rPr>
            </w:pPr>
            <w:r>
              <w:rPr>
                <w:rFonts w:hint="eastAsia" w:ascii="Times New Roman" w:hAnsi="Times New Roman" w:eastAsia="楷体" w:cs="Times New Roman"/>
                <w:b w:val="0"/>
                <w:bCs w:val="0"/>
                <w:caps/>
                <w:sz w:val="22"/>
                <w:szCs w:val="22"/>
              </w:rPr>
              <w:t>100.00%</w:t>
            </w:r>
          </w:p>
        </w:tc>
        <w:tc>
          <w:tcPr>
            <w:tcW w:w="992" w:type="dxa"/>
            <w:tcBorders>
              <w:top w:val="double" w:color="5B9BD5" w:themeColor="accent1" w:sz="4" w:space="0"/>
            </w:tcBorders>
            <w:vAlign w:val="center"/>
          </w:tcPr>
          <w:p>
            <w:pPr>
              <w:spacing w:line="240" w:lineRule="auto"/>
              <w:ind w:firstLine="0" w:firstLineChars="0"/>
              <w:jc w:val="center"/>
              <w:rPr>
                <w:rFonts w:hint="eastAsia" w:ascii="Times New Roman" w:hAnsi="Times New Roman" w:eastAsia="楷体" w:cs="Times New Roman"/>
                <w:b w:val="0"/>
                <w:bCs w:val="0"/>
                <w:caps/>
                <w:sz w:val="22"/>
                <w:szCs w:val="22"/>
                <w:lang w:eastAsia="zh-CN"/>
              </w:rPr>
            </w:pPr>
            <w:r>
              <w:rPr>
                <w:rFonts w:hint="eastAsia" w:ascii="Times New Roman" w:hAnsi="Times New Roman" w:eastAsia="楷体" w:cs="Times New Roman"/>
                <w:b w:val="0"/>
                <w:bCs w:val="0"/>
                <w:caps/>
                <w:sz w:val="22"/>
                <w:szCs w:val="22"/>
                <w:lang w:val="en-US" w:eastAsia="zh-CN"/>
              </w:rPr>
              <w:t>2537</w:t>
            </w:r>
          </w:p>
        </w:tc>
        <w:tc>
          <w:tcPr>
            <w:tcW w:w="1134" w:type="dxa"/>
            <w:tcBorders>
              <w:top w:val="double" w:color="5B9BD5" w:themeColor="accent1" w:sz="4" w:space="0"/>
            </w:tcBorders>
            <w:vAlign w:val="center"/>
          </w:tcPr>
          <w:p>
            <w:pPr>
              <w:spacing w:line="240" w:lineRule="auto"/>
              <w:ind w:firstLine="0" w:firstLineChars="0"/>
              <w:jc w:val="center"/>
              <w:rPr>
                <w:rFonts w:ascii="Times New Roman" w:hAnsi="Times New Roman" w:eastAsia="楷体" w:cs="Times New Roman"/>
                <w:b w:val="0"/>
                <w:bCs w:val="0"/>
                <w:caps/>
                <w:sz w:val="22"/>
                <w:szCs w:val="22"/>
              </w:rPr>
            </w:pPr>
            <w:r>
              <w:rPr>
                <w:rFonts w:hint="eastAsia" w:ascii="Times New Roman" w:hAnsi="Times New Roman" w:eastAsia="楷体" w:cs="Times New Roman"/>
                <w:b w:val="0"/>
                <w:bCs w:val="0"/>
                <w:caps/>
                <w:sz w:val="22"/>
                <w:szCs w:val="22"/>
              </w:rPr>
              <w:t>100.00%</w:t>
            </w:r>
          </w:p>
        </w:tc>
      </w:tr>
    </w:tbl>
    <w:p>
      <w:pPr>
        <w:spacing w:line="288" w:lineRule="auto"/>
        <w:ind w:firstLine="0" w:firstLineChars="0"/>
        <w:rPr>
          <w:rFonts w:ascii="Times New Roman" w:hAnsi="Times New Roman"/>
          <w:caps/>
          <w:sz w:val="18"/>
        </w:rPr>
      </w:pPr>
    </w:p>
    <w:p>
      <w:pPr>
        <w:spacing w:line="288" w:lineRule="auto"/>
        <w:ind w:firstLine="0" w:firstLineChars="0"/>
        <w:rPr>
          <w:rFonts w:ascii="Times New Roman" w:hAnsi="Times New Roman"/>
          <w:caps/>
          <w:sz w:val="18"/>
        </w:rPr>
      </w:pPr>
      <w:r>
        <w:rPr>
          <w:rFonts w:hint="eastAsia" w:ascii="Times New Roman" w:hAnsi="Times New Roman"/>
          <w:caps/>
          <w:sz w:val="18"/>
        </w:rPr>
        <w:t>数据来源</w:t>
      </w:r>
      <w:r>
        <w:rPr>
          <w:rFonts w:ascii="Times New Roman" w:hAnsi="Times New Roman"/>
          <w:caps/>
          <w:sz w:val="18"/>
        </w:rPr>
        <w:t>：</w:t>
      </w:r>
      <w:r>
        <w:rPr>
          <w:rFonts w:hint="eastAsia" w:ascii="Times New Roman" w:hAnsi="Times New Roman"/>
          <w:caps/>
          <w:sz w:val="18"/>
        </w:rPr>
        <w:t>重庆市大学中专毕业生就业数据库。</w:t>
      </w:r>
    </w:p>
    <w:p>
      <w:pPr>
        <w:ind w:firstLine="480"/>
        <w:rPr>
          <w:rFonts w:cs="宋体" w:asciiTheme="minorEastAsia" w:hAnsiTheme="minorEastAsia"/>
          <w:color w:val="000000" w:themeColor="text1"/>
          <w:szCs w:val="21"/>
          <w14:textFill>
            <w14:solidFill>
              <w14:schemeClr w14:val="tx1"/>
            </w14:solidFill>
          </w14:textFill>
        </w:rPr>
      </w:pPr>
      <w:r>
        <w:br w:type="page"/>
      </w:r>
    </w:p>
    <w:p>
      <w:pPr>
        <w:pStyle w:val="2"/>
        <w:spacing w:after="468"/>
        <w:ind w:firstLine="723"/>
      </w:pPr>
      <w:bookmarkStart w:id="60" w:name="_Toc439953132"/>
      <w:r>
        <w:rPr>
          <w:rFonts w:hint="eastAsia"/>
        </w:rPr>
        <w:t>第五篇</w:t>
      </w:r>
      <w:r>
        <w:t>：</w:t>
      </w:r>
      <w:r>
        <w:rPr>
          <w:rFonts w:hint="eastAsia"/>
        </w:rPr>
        <w:t>对教育教学的反馈</w:t>
      </w:r>
      <w:bookmarkEnd w:id="60"/>
    </w:p>
    <w:p>
      <w:pPr>
        <w:pStyle w:val="3"/>
      </w:pPr>
      <w:bookmarkStart w:id="61" w:name="_Toc425351822"/>
      <w:bookmarkStart w:id="62" w:name="_Toc439953133"/>
      <w:r>
        <w:rPr>
          <w:rFonts w:hint="eastAsia"/>
        </w:rPr>
        <w:t>一、对母校的满意度和推荐度</w:t>
      </w:r>
      <w:bookmarkEnd w:id="61"/>
      <w:bookmarkEnd w:id="62"/>
    </w:p>
    <w:p>
      <w:pPr>
        <w:pStyle w:val="18"/>
        <w:spacing w:before="312" w:after="156"/>
        <w:ind w:firstLine="482"/>
        <w:rPr>
          <w:rFonts w:ascii="Times New Roman" w:hAnsi="Times New Roman" w:cs="Times New Roman"/>
          <w:sz w:val="24"/>
          <w:szCs w:val="24"/>
        </w:rPr>
      </w:pPr>
      <w:r>
        <w:rPr>
          <w:rFonts w:hint="eastAsia"/>
          <w:sz w:val="24"/>
          <w:szCs w:val="24"/>
        </w:rPr>
        <w:t>学校201</w:t>
      </w:r>
      <w:r>
        <w:rPr>
          <w:rFonts w:hint="eastAsia"/>
          <w:sz w:val="24"/>
          <w:szCs w:val="24"/>
          <w:lang w:val="en-US" w:eastAsia="zh-CN"/>
        </w:rPr>
        <w:t>6</w:t>
      </w:r>
      <w:r>
        <w:rPr>
          <w:rFonts w:hint="eastAsia"/>
          <w:sz w:val="24"/>
          <w:szCs w:val="24"/>
        </w:rPr>
        <w:t>届</w:t>
      </w:r>
      <w:r>
        <w:rPr>
          <w:sz w:val="24"/>
          <w:szCs w:val="24"/>
        </w:rPr>
        <w:t>毕业生对母校的总体满意度为</w:t>
      </w:r>
      <w:r>
        <w:rPr>
          <w:rFonts w:ascii="Times New Roman" w:hAnsi="Times New Roman" w:cs="Times New Roman"/>
          <w:sz w:val="24"/>
          <w:szCs w:val="24"/>
        </w:rPr>
        <w:t>96.</w:t>
      </w:r>
      <w:r>
        <w:rPr>
          <w:rFonts w:hint="eastAsia" w:ascii="Times New Roman" w:hAnsi="Times New Roman" w:cs="Times New Roman"/>
          <w:sz w:val="24"/>
          <w:szCs w:val="24"/>
          <w:lang w:val="en-US" w:eastAsia="zh-CN"/>
        </w:rPr>
        <w:t>63</w:t>
      </w:r>
      <w:r>
        <w:rPr>
          <w:rFonts w:ascii="Times New Roman" w:hAnsi="Times New Roman" w:cs="Times New Roman"/>
          <w:sz w:val="24"/>
          <w:szCs w:val="24"/>
        </w:rPr>
        <w:t>%</w:t>
      </w:r>
      <w:r>
        <w:rPr>
          <w:rFonts w:hint="eastAsia"/>
          <w:sz w:val="24"/>
          <w:szCs w:val="24"/>
        </w:rPr>
        <w:t>，</w:t>
      </w:r>
      <w:r>
        <w:rPr>
          <w:sz w:val="24"/>
          <w:szCs w:val="24"/>
        </w:rPr>
        <w:t>推荐度为</w:t>
      </w:r>
      <w:r>
        <w:rPr>
          <w:rFonts w:hint="default" w:ascii="Times New Roman" w:hAnsi="Times New Roman" w:cs="Times New Roman"/>
          <w:sz w:val="24"/>
          <w:szCs w:val="24"/>
          <w:lang w:val="en-US" w:eastAsia="zh-CN"/>
        </w:rPr>
        <w:t>44.86</w:t>
      </w:r>
      <w:r>
        <w:rPr>
          <w:rFonts w:ascii="Times New Roman" w:hAnsi="Times New Roman" w:cs="Times New Roman"/>
          <w:sz w:val="24"/>
          <w:szCs w:val="24"/>
        </w:rPr>
        <w:t>%</w:t>
      </w:r>
    </w:p>
    <w:p>
      <w:pPr>
        <w:ind w:firstLine="0" w:firstLineChars="0"/>
      </w:pPr>
      <w:r>
        <w:drawing>
          <wp:inline distT="0" distB="0" distL="0" distR="0">
            <wp:extent cx="2519680" cy="1871980"/>
            <wp:effectExtent l="0" t="0" r="13970" b="1397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hint="eastAsia"/>
        </w:rPr>
        <w:t xml:space="preserve">  </w:t>
      </w:r>
      <w:r>
        <w:drawing>
          <wp:inline distT="0" distB="0" distL="0" distR="0">
            <wp:extent cx="2519680" cy="1871980"/>
            <wp:effectExtent l="0" t="0" r="13970" b="1397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19"/>
      </w:pPr>
      <w:r>
        <w:rPr>
          <w:rFonts w:hint="eastAsia"/>
        </w:rPr>
        <w:t>注</w:t>
      </w:r>
      <w:r>
        <w:t>:1.</w:t>
      </w:r>
      <w:r>
        <w:rPr>
          <w:rFonts w:hint="eastAsia"/>
        </w:rPr>
        <w:t>左图</w:t>
      </w:r>
      <w:r>
        <w:t>为毕业生对母校的满意度，</w:t>
      </w:r>
      <w:r>
        <w:rPr>
          <w:rFonts w:hint="eastAsia"/>
        </w:rPr>
        <w:t>右图</w:t>
      </w:r>
      <w:r>
        <w:t>为毕业生对母校的推荐</w:t>
      </w:r>
      <w:r>
        <w:rPr>
          <w:rFonts w:hint="eastAsia"/>
        </w:rPr>
        <w:t>度。</w:t>
      </w:r>
    </w:p>
    <w:p>
      <w:pPr>
        <w:pStyle w:val="19"/>
      </w:pPr>
      <w:r>
        <w:rPr>
          <w:rFonts w:hint="eastAsia"/>
        </w:rPr>
        <w:t>2.满意度</w:t>
      </w:r>
      <w:r>
        <w:t>=很满意+比较满意+一般</w:t>
      </w:r>
      <w:r>
        <w:rPr>
          <w:rFonts w:hint="eastAsia"/>
        </w:rPr>
        <w:t>；</w:t>
      </w:r>
      <w:r>
        <w:t>推荐度=愿意。</w:t>
      </w:r>
    </w:p>
    <w:p>
      <w:pPr>
        <w:pStyle w:val="19"/>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p>
    <w:p>
      <w:pPr>
        <w:pStyle w:val="18"/>
        <w:spacing w:before="312" w:after="156"/>
        <w:ind w:firstLine="482"/>
        <w:rPr>
          <w:rFonts w:hint="eastAsia"/>
          <w:sz w:val="24"/>
          <w:szCs w:val="24"/>
        </w:rPr>
      </w:pPr>
      <w:r>
        <w:rPr>
          <w:rFonts w:hint="eastAsia"/>
          <w:sz w:val="24"/>
          <w:szCs w:val="24"/>
        </w:rPr>
        <w:t>影响</w:t>
      </w:r>
      <w:r>
        <w:rPr>
          <w:sz w:val="24"/>
          <w:szCs w:val="24"/>
        </w:rPr>
        <w:t>毕业生对母校满意度的</w:t>
      </w:r>
      <w:r>
        <w:rPr>
          <w:rFonts w:hint="eastAsia"/>
          <w:sz w:val="24"/>
          <w:szCs w:val="24"/>
        </w:rPr>
        <w:t>首要</w:t>
      </w:r>
      <w:r>
        <w:rPr>
          <w:sz w:val="24"/>
          <w:szCs w:val="24"/>
        </w:rPr>
        <w:t>因</w:t>
      </w:r>
      <w:r>
        <w:rPr>
          <w:rFonts w:hint="eastAsia"/>
          <w:sz w:val="24"/>
          <w:szCs w:val="24"/>
        </w:rPr>
        <w:t>素为</w:t>
      </w:r>
      <w:r>
        <w:rPr>
          <w:sz w:val="24"/>
          <w:szCs w:val="24"/>
        </w:rPr>
        <w:fldChar w:fldCharType="begin"/>
      </w:r>
      <w:r>
        <w:rPr>
          <w:sz w:val="24"/>
          <w:szCs w:val="24"/>
        </w:rPr>
        <w:instrText xml:space="preserve"> </w:instrText>
      </w:r>
      <w:r>
        <w:rPr>
          <w:rFonts w:hint="eastAsia"/>
          <w:sz w:val="24"/>
          <w:szCs w:val="24"/>
        </w:rPr>
        <w:instrText xml:space="preserve">LINK </w:instrText>
      </w:r>
      <w:r>
        <w:rPr>
          <w:sz w:val="24"/>
          <w:szCs w:val="24"/>
        </w:rPr>
        <w:instrText xml:space="preserve">Excel.Sheet.8</w:instrText>
      </w:r>
      <w:r>
        <w:rPr>
          <w:rFonts w:hint="eastAsia"/>
          <w:sz w:val="24"/>
          <w:szCs w:val="24"/>
        </w:rPr>
        <w:instrText xml:space="preserve"> D:\\duiwai\\对外单学历图.xls 文字性内容!R45C3 \a \t</w:instrText>
      </w:r>
      <w:r>
        <w:rPr>
          <w:sz w:val="24"/>
          <w:szCs w:val="24"/>
        </w:rPr>
        <w:instrText xml:space="preserve">  \* MERGEFORMAT </w:instrText>
      </w:r>
      <w:r>
        <w:rPr>
          <w:sz w:val="24"/>
          <w:szCs w:val="24"/>
        </w:rPr>
        <w:fldChar w:fldCharType="separate"/>
      </w:r>
      <w:r>
        <w:rPr>
          <w:rFonts w:hint="eastAsia"/>
          <w:sz w:val="24"/>
          <w:szCs w:val="24"/>
        </w:rPr>
        <w:t>所学知识/能力满足工作实际需求的情况</w:t>
      </w:r>
      <w:r>
        <w:rPr>
          <w:sz w:val="24"/>
          <w:szCs w:val="24"/>
        </w:rPr>
        <w:fldChar w:fldCharType="end"/>
      </w:r>
      <w:r>
        <w:rPr>
          <w:rFonts w:hint="eastAsia"/>
          <w:sz w:val="24"/>
          <w:szCs w:val="24"/>
        </w:rPr>
        <w:t>，</w:t>
      </w:r>
      <w:r>
        <w:rPr>
          <w:sz w:val="24"/>
          <w:szCs w:val="24"/>
        </w:rPr>
        <w:t>其次是学校管理人员的办事效率和态度</w:t>
      </w:r>
      <w:r>
        <w:rPr>
          <w:rFonts w:hint="eastAsia"/>
          <w:sz w:val="24"/>
          <w:szCs w:val="24"/>
        </w:rPr>
        <w:t>。</w:t>
      </w:r>
    </w:p>
    <w:p>
      <w:r>
        <w:drawing>
          <wp:inline distT="0" distB="0" distL="114300" distR="114300">
            <wp:extent cx="5257800" cy="2693670"/>
            <wp:effectExtent l="0" t="0" r="0" b="11430"/>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ind w:firstLine="0" w:firstLineChars="0"/>
        <w:jc w:val="center"/>
      </w:pPr>
    </w:p>
    <w:p>
      <w:pPr>
        <w:pStyle w:val="19"/>
      </w:pPr>
      <w:r>
        <w:rPr>
          <w:rFonts w:hint="eastAsia"/>
        </w:rPr>
        <w:t>注：该题目为多选题，因此选项的百分比之和不是100</w:t>
      </w:r>
      <w:r>
        <w:t>%</w:t>
      </w:r>
      <w:r>
        <w:rPr>
          <w:rFonts w:hint="eastAsia"/>
        </w:rPr>
        <w:t>。</w:t>
      </w:r>
    </w:p>
    <w:p>
      <w:pPr>
        <w:pStyle w:val="19"/>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p>
    <w:p>
      <w:pPr>
        <w:pStyle w:val="3"/>
      </w:pPr>
      <w:bookmarkStart w:id="63" w:name="_Toc439953134"/>
      <w:r>
        <w:rPr>
          <w:rFonts w:hint="eastAsia"/>
        </w:rPr>
        <w:t>二</w:t>
      </w:r>
      <w:r>
        <w:t>、对母校教育教学的</w:t>
      </w:r>
      <w:r>
        <w:rPr>
          <w:rFonts w:hint="eastAsia"/>
        </w:rPr>
        <w:t>评价</w:t>
      </w:r>
      <w:bookmarkEnd w:id="63"/>
    </w:p>
    <w:p>
      <w:pPr>
        <w:pStyle w:val="4"/>
        <w:spacing w:before="156" w:after="156"/>
        <w:ind w:left="240"/>
      </w:pPr>
      <w:bookmarkStart w:id="64" w:name="_Toc439953135"/>
      <w:r>
        <w:rPr>
          <w:rFonts w:hint="eastAsia"/>
        </w:rPr>
        <w:t>（一</w:t>
      </w:r>
      <w:r>
        <w:t>）</w:t>
      </w:r>
      <w:r>
        <w:rPr>
          <w:rFonts w:hint="eastAsia"/>
        </w:rPr>
        <w:t>专业课</w:t>
      </w:r>
      <w:r>
        <w:t>评价</w:t>
      </w:r>
      <w:bookmarkEnd w:id="64"/>
    </w:p>
    <w:p>
      <w:pPr>
        <w:pStyle w:val="18"/>
        <w:spacing w:before="312" w:after="156"/>
        <w:ind w:firstLine="482"/>
        <w:rPr>
          <w:sz w:val="24"/>
          <w:szCs w:val="24"/>
        </w:rPr>
      </w:pPr>
      <w:r>
        <w:rPr>
          <w:rFonts w:hint="eastAsia"/>
          <w:sz w:val="24"/>
          <w:szCs w:val="24"/>
        </w:rPr>
        <w:t>毕业生</w:t>
      </w:r>
      <w:r>
        <w:rPr>
          <w:sz w:val="24"/>
          <w:szCs w:val="24"/>
        </w:rPr>
        <w:t>对专业课</w:t>
      </w:r>
      <w:r>
        <w:rPr>
          <w:rFonts w:hint="eastAsia"/>
          <w:sz w:val="24"/>
          <w:szCs w:val="24"/>
        </w:rPr>
        <w:t>教学</w:t>
      </w:r>
      <w:r>
        <w:rPr>
          <w:sz w:val="24"/>
          <w:szCs w:val="24"/>
        </w:rPr>
        <w:t>有效性评价很高</w:t>
      </w:r>
      <w:r>
        <w:rPr>
          <w:rFonts w:hint="eastAsia"/>
          <w:sz w:val="24"/>
          <w:szCs w:val="24"/>
        </w:rPr>
        <w:t>，</w:t>
      </w:r>
      <w:r>
        <w:rPr>
          <w:rFonts w:hint="eastAsia" w:ascii="Times New Roman" w:hAnsi="Times New Roman" w:cs="Times New Roman"/>
          <w:sz w:val="24"/>
          <w:szCs w:val="24"/>
          <w:lang w:val="en-US" w:eastAsia="zh-CN"/>
        </w:rPr>
        <w:t>68.62</w:t>
      </w:r>
      <w:r>
        <w:rPr>
          <w:rFonts w:ascii="Times New Roman" w:hAnsi="Times New Roman" w:cs="Times New Roman"/>
          <w:sz w:val="24"/>
          <w:szCs w:val="24"/>
        </w:rPr>
        <w:t>%</w:t>
      </w:r>
      <w:r>
        <w:rPr>
          <w:sz w:val="24"/>
          <w:szCs w:val="24"/>
        </w:rPr>
        <w:t>的毕业生认为所学专业课对实际工作有价值</w:t>
      </w:r>
      <w:r>
        <w:rPr>
          <w:rFonts w:hint="eastAsia"/>
          <w:sz w:val="24"/>
          <w:szCs w:val="24"/>
        </w:rPr>
        <w:t>，</w:t>
      </w:r>
      <w:r>
        <w:rPr>
          <w:rFonts w:hint="eastAsia" w:ascii="Times New Roman" w:hAnsi="Times New Roman" w:cs="Times New Roman"/>
          <w:sz w:val="24"/>
          <w:szCs w:val="24"/>
          <w:lang w:val="en-US" w:eastAsia="zh-CN"/>
        </w:rPr>
        <w:t>73.94</w:t>
      </w:r>
      <w:r>
        <w:rPr>
          <w:rFonts w:ascii="Times New Roman" w:hAnsi="Times New Roman" w:cs="Times New Roman"/>
          <w:sz w:val="24"/>
          <w:szCs w:val="24"/>
        </w:rPr>
        <w:t>%的毕业生</w:t>
      </w:r>
      <w:r>
        <w:rPr>
          <w:rFonts w:hint="eastAsia" w:ascii="Times New Roman" w:hAnsi="Times New Roman" w:cs="Times New Roman"/>
          <w:sz w:val="24"/>
          <w:szCs w:val="24"/>
        </w:rPr>
        <w:t>能够掌握</w:t>
      </w:r>
      <w:r>
        <w:rPr>
          <w:rFonts w:ascii="Times New Roman" w:hAnsi="Times New Roman" w:cs="Times New Roman"/>
          <w:sz w:val="24"/>
          <w:szCs w:val="24"/>
        </w:rPr>
        <w:t>所</w:t>
      </w:r>
      <w:r>
        <w:rPr>
          <w:sz w:val="24"/>
          <w:szCs w:val="24"/>
        </w:rPr>
        <w:t>学专业</w:t>
      </w:r>
      <w:r>
        <w:rPr>
          <w:rFonts w:hint="eastAsia" w:ascii="楷体" w:hAnsi="楷体" w:eastAsia="楷体" w:cs="楷体"/>
          <w:sz w:val="24"/>
          <w:szCs w:val="24"/>
        </w:rPr>
        <w:t>知识</w:t>
      </w:r>
      <w:r>
        <w:rPr>
          <w:rFonts w:hint="eastAsia" w:ascii="楷体" w:hAnsi="楷体" w:cs="楷体"/>
          <w:sz w:val="24"/>
          <w:szCs w:val="24"/>
          <w:lang w:eastAsia="zh-CN"/>
        </w:rPr>
        <w:t>。</w:t>
      </w:r>
    </w:p>
    <w:p>
      <w:pPr>
        <w:ind w:firstLine="0" w:firstLineChars="0"/>
      </w:pPr>
      <w:r>
        <w:drawing>
          <wp:inline distT="0" distB="0" distL="0" distR="0">
            <wp:extent cx="2519680" cy="2015490"/>
            <wp:effectExtent l="0" t="0" r="13970" b="381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hint="eastAsia"/>
        </w:rPr>
        <w:t xml:space="preserve"> </w:t>
      </w:r>
      <w:r>
        <w:t xml:space="preserve"> </w:t>
      </w:r>
      <w:r>
        <w:drawing>
          <wp:inline distT="0" distB="0" distL="0" distR="0">
            <wp:extent cx="2519680" cy="2015490"/>
            <wp:effectExtent l="0" t="0" r="13970" b="381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19"/>
      </w:pPr>
      <w:r>
        <w:rPr>
          <w:rFonts w:hint="eastAsia"/>
        </w:rPr>
        <w:t>注</w:t>
      </w:r>
      <w:r>
        <w:t>1.</w:t>
      </w:r>
      <w:r>
        <w:rPr>
          <w:rFonts w:hint="eastAsia"/>
        </w:rPr>
        <w:t>左图</w:t>
      </w:r>
      <w:r>
        <w:t>为专业课对实际工作的价值，</w:t>
      </w:r>
      <w:r>
        <w:rPr>
          <w:rFonts w:hint="eastAsia"/>
        </w:rPr>
        <w:t>右</w:t>
      </w:r>
      <w:r>
        <w:t>图为毕业生掌握所学</w:t>
      </w:r>
      <w:r>
        <w:rPr>
          <w:rFonts w:hint="eastAsia"/>
        </w:rPr>
        <w:t>专业</w:t>
      </w:r>
      <w:r>
        <w:t>知识情况</w:t>
      </w:r>
      <w:r>
        <w:rPr>
          <w:rFonts w:hint="eastAsia"/>
        </w:rPr>
        <w:t>。</w:t>
      </w:r>
    </w:p>
    <w:p>
      <w:pPr>
        <w:ind w:firstLine="0" w:firstLineChars="0"/>
        <w:rPr>
          <w:rFonts w:ascii="Times New Roman" w:hAnsi="Times New Roman"/>
          <w:caps/>
          <w:sz w:val="18"/>
        </w:rPr>
      </w:pPr>
      <w:r>
        <w:rPr>
          <w:rFonts w:hint="eastAsia" w:ascii="Times New Roman" w:hAnsi="Times New Roman"/>
          <w:caps/>
          <w:sz w:val="18"/>
        </w:rPr>
        <w:t>2.专业课教学有效性=很大+比较大+一般；掌握程度=很好+比较好+一般。</w:t>
      </w:r>
    </w:p>
    <w:p>
      <w:pPr>
        <w:pStyle w:val="19"/>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p>
    <w:p>
      <w:pPr>
        <w:pStyle w:val="4"/>
        <w:spacing w:before="156" w:after="156"/>
        <w:ind w:left="240"/>
        <w:rPr>
          <w:color w:val="2E75B6" w:themeColor="accent1" w:themeShade="BF"/>
        </w:rPr>
      </w:pPr>
      <w:bookmarkStart w:id="65" w:name="_Toc439953136"/>
      <w:r>
        <w:rPr>
          <w:rFonts w:hint="eastAsia"/>
        </w:rPr>
        <w:t>（二）实践</w:t>
      </w:r>
      <w:r>
        <w:t>教学环节评价</w:t>
      </w:r>
      <w:bookmarkEnd w:id="65"/>
    </w:p>
    <w:p>
      <w:pPr>
        <w:pStyle w:val="18"/>
        <w:spacing w:before="312" w:after="156"/>
        <w:ind w:firstLine="482"/>
        <w:rPr>
          <w:rFonts w:ascii="Times New Roman" w:hAnsi="Times New Roman" w:cs="Times New Roman"/>
          <w:sz w:val="24"/>
          <w:szCs w:val="24"/>
        </w:rPr>
      </w:pPr>
      <w:r>
        <w:rPr>
          <w:sz w:val="24"/>
          <w:szCs w:val="24"/>
        </w:rPr>
        <w:t>毕业生对实</w:t>
      </w:r>
      <w:r>
        <w:rPr>
          <w:rFonts w:hint="eastAsia"/>
          <w:sz w:val="24"/>
          <w:szCs w:val="24"/>
        </w:rPr>
        <w:t>践</w:t>
      </w:r>
      <w:r>
        <w:rPr>
          <w:sz w:val="24"/>
          <w:szCs w:val="24"/>
        </w:rPr>
        <w:t>教学环节评价很高</w:t>
      </w:r>
      <w:r>
        <w:rPr>
          <w:rFonts w:hint="eastAsia"/>
          <w:sz w:val="24"/>
          <w:szCs w:val="24"/>
        </w:rPr>
        <w:t>，</w:t>
      </w:r>
      <w:r>
        <w:rPr>
          <w:rFonts w:hint="eastAsia" w:ascii="Times New Roman" w:hAnsi="Times New Roman" w:cs="Times New Roman"/>
          <w:sz w:val="24"/>
          <w:szCs w:val="24"/>
          <w:lang w:val="en-US" w:eastAsia="zh-CN"/>
        </w:rPr>
        <w:t>73.22</w:t>
      </w:r>
      <w:r>
        <w:rPr>
          <w:rFonts w:ascii="Times New Roman" w:hAnsi="Times New Roman" w:cs="Times New Roman"/>
          <w:sz w:val="24"/>
          <w:szCs w:val="24"/>
        </w:rPr>
        <w:t>%的毕业生</w:t>
      </w:r>
      <w:r>
        <w:rPr>
          <w:rFonts w:hint="eastAsia" w:ascii="Times New Roman" w:hAnsi="Times New Roman" w:cs="Times New Roman"/>
          <w:sz w:val="24"/>
          <w:szCs w:val="24"/>
        </w:rPr>
        <w:t>认为母校</w:t>
      </w:r>
      <w:r>
        <w:rPr>
          <w:rFonts w:ascii="Times New Roman" w:hAnsi="Times New Roman" w:cs="Times New Roman"/>
          <w:sz w:val="24"/>
          <w:szCs w:val="24"/>
        </w:rPr>
        <w:t>实践教学环节</w:t>
      </w:r>
      <w:r>
        <w:rPr>
          <w:rFonts w:hint="eastAsia" w:ascii="Times New Roman" w:hAnsi="Times New Roman" w:cs="Times New Roman"/>
          <w:sz w:val="24"/>
          <w:szCs w:val="24"/>
        </w:rPr>
        <w:t>有</w:t>
      </w:r>
      <w:r>
        <w:rPr>
          <w:rFonts w:ascii="Times New Roman" w:hAnsi="Times New Roman" w:cs="Times New Roman"/>
          <w:sz w:val="24"/>
          <w:szCs w:val="24"/>
        </w:rPr>
        <w:t>效果</w:t>
      </w:r>
    </w:p>
    <w:p>
      <w:pPr>
        <w:ind w:firstLine="480"/>
      </w:pPr>
      <w:r>
        <w:drawing>
          <wp:inline distT="0" distB="0" distL="0" distR="0">
            <wp:extent cx="4648200" cy="2124075"/>
            <wp:effectExtent l="0" t="0" r="0" b="9525"/>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19"/>
      </w:pPr>
      <w:r>
        <w:rPr>
          <w:rFonts w:hint="eastAsia"/>
        </w:rPr>
        <w:t>注：由于四舍五入的原因，因此数据占比之和可能会出现不等于100</w:t>
      </w:r>
      <w:r>
        <w:t>%</w:t>
      </w:r>
      <w:r>
        <w:rPr>
          <w:rFonts w:hint="eastAsia"/>
        </w:rPr>
        <w:t>的情况（误差为±0.01）。</w:t>
      </w:r>
    </w:p>
    <w:p>
      <w:pPr>
        <w:pStyle w:val="19"/>
        <w:rPr>
          <w:szCs w:val="18"/>
        </w:rPr>
      </w:pPr>
      <w:r>
        <w:rPr>
          <w:szCs w:val="18"/>
        </w:rPr>
        <w:t>数据来源</w:t>
      </w:r>
      <w:r>
        <w:rPr>
          <w:rFonts w:hint="eastAsia"/>
          <w:szCs w:val="18"/>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rPr>
          <w:szCs w:val="18"/>
        </w:rPr>
        <w:t>。</w:t>
      </w:r>
    </w:p>
    <w:p>
      <w:pPr>
        <w:pStyle w:val="4"/>
        <w:spacing w:before="156" w:after="156"/>
        <w:ind w:left="240"/>
      </w:pPr>
      <w:bookmarkStart w:id="66" w:name="_Toc439953137"/>
      <w:r>
        <w:rPr>
          <w:rFonts w:hint="eastAsia"/>
        </w:rPr>
        <w:t>（三）任课</w:t>
      </w:r>
      <w:r>
        <w:t>教师评价</w:t>
      </w:r>
      <w:bookmarkEnd w:id="66"/>
    </w:p>
    <w:p>
      <w:pPr>
        <w:pStyle w:val="18"/>
        <w:spacing w:before="312" w:after="156"/>
        <w:ind w:firstLine="482"/>
        <w:rPr>
          <w:sz w:val="24"/>
          <w:szCs w:val="24"/>
        </w:rPr>
      </w:pPr>
      <w:r>
        <w:rPr>
          <w:rFonts w:hint="eastAsia"/>
          <w:sz w:val="24"/>
          <w:szCs w:val="24"/>
        </w:rPr>
        <w:t>毕业生</w:t>
      </w:r>
      <w:r>
        <w:rPr>
          <w:sz w:val="24"/>
          <w:szCs w:val="24"/>
        </w:rPr>
        <w:t>对</w:t>
      </w:r>
      <w:r>
        <w:rPr>
          <w:rFonts w:hint="eastAsia"/>
          <w:sz w:val="24"/>
          <w:szCs w:val="24"/>
        </w:rPr>
        <w:t>母校</w:t>
      </w:r>
      <w:r>
        <w:rPr>
          <w:sz w:val="24"/>
          <w:szCs w:val="24"/>
        </w:rPr>
        <w:t>任课教师的满意度</w:t>
      </w:r>
      <w:r>
        <w:rPr>
          <w:rFonts w:hint="eastAsia"/>
          <w:sz w:val="24"/>
          <w:szCs w:val="24"/>
        </w:rPr>
        <w:t>很高，</w:t>
      </w:r>
      <w:r>
        <w:rPr>
          <w:rFonts w:ascii="Times New Roman" w:hAnsi="Times New Roman" w:cs="Times New Roman"/>
          <w:sz w:val="24"/>
          <w:szCs w:val="24"/>
        </w:rPr>
        <w:t>97.</w:t>
      </w:r>
      <w:r>
        <w:rPr>
          <w:rFonts w:hint="eastAsia" w:ascii="Times New Roman" w:hAnsi="Times New Roman" w:cs="Times New Roman"/>
          <w:sz w:val="24"/>
          <w:szCs w:val="24"/>
          <w:lang w:val="en-US" w:eastAsia="zh-CN"/>
        </w:rPr>
        <w:t>87</w:t>
      </w:r>
      <w:r>
        <w:rPr>
          <w:rFonts w:ascii="Times New Roman" w:hAnsi="Times New Roman" w:cs="Times New Roman"/>
          <w:sz w:val="24"/>
          <w:szCs w:val="24"/>
        </w:rPr>
        <w:t>%</w:t>
      </w:r>
      <w:r>
        <w:rPr>
          <w:rFonts w:hint="eastAsia" w:ascii="Times New Roman" w:hAnsi="Times New Roman" w:cs="Times New Roman"/>
          <w:sz w:val="24"/>
          <w:szCs w:val="24"/>
        </w:rPr>
        <w:t>的</w:t>
      </w:r>
      <w:r>
        <w:rPr>
          <w:sz w:val="24"/>
          <w:szCs w:val="24"/>
        </w:rPr>
        <w:t>毕业生对任课教师</w:t>
      </w:r>
      <w:r>
        <w:rPr>
          <w:rFonts w:hint="eastAsia"/>
          <w:sz w:val="24"/>
          <w:szCs w:val="24"/>
        </w:rPr>
        <w:t>满意</w:t>
      </w:r>
    </w:p>
    <w:p>
      <w:pPr>
        <w:ind w:firstLine="0" w:firstLineChars="0"/>
        <w:jc w:val="center"/>
      </w:pPr>
      <w:r>
        <w:drawing>
          <wp:inline distT="0" distB="0" distL="0" distR="0">
            <wp:extent cx="4648200" cy="2301240"/>
            <wp:effectExtent l="0" t="0" r="0" b="381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19"/>
        <w:rPr>
          <w:szCs w:val="18"/>
        </w:rPr>
      </w:pPr>
      <w:r>
        <w:rPr>
          <w:szCs w:val="18"/>
        </w:rPr>
        <w:t>数据来源</w:t>
      </w:r>
      <w:r>
        <w:rPr>
          <w:rFonts w:hint="eastAsia"/>
          <w:szCs w:val="18"/>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rPr>
          <w:szCs w:val="18"/>
        </w:rPr>
        <w:t>。</w:t>
      </w:r>
    </w:p>
    <w:p>
      <w:pPr>
        <w:ind w:firstLine="480"/>
      </w:pPr>
    </w:p>
    <w:p>
      <w:pPr>
        <w:pStyle w:val="18"/>
        <w:spacing w:before="312" w:after="156"/>
        <w:ind w:firstLine="482"/>
        <w:rPr>
          <w:sz w:val="24"/>
          <w:szCs w:val="24"/>
        </w:rPr>
      </w:pPr>
      <w:r>
        <w:rPr>
          <w:rFonts w:hint="eastAsia"/>
          <w:sz w:val="24"/>
          <w:szCs w:val="24"/>
        </w:rPr>
        <w:t>从对</w:t>
      </w:r>
      <w:r>
        <w:rPr>
          <w:sz w:val="24"/>
          <w:szCs w:val="24"/>
        </w:rPr>
        <w:t>任课教师的具体评价来看，毕业生对任课</w:t>
      </w:r>
      <w:r>
        <w:rPr>
          <w:rFonts w:hint="eastAsia"/>
          <w:sz w:val="24"/>
          <w:szCs w:val="24"/>
        </w:rPr>
        <w:t>教师</w:t>
      </w:r>
      <w:r>
        <w:rPr>
          <w:sz w:val="24"/>
          <w:szCs w:val="24"/>
        </w:rPr>
        <w:t>教学态度</w:t>
      </w:r>
      <w:r>
        <w:rPr>
          <w:rFonts w:hint="eastAsia"/>
          <w:sz w:val="24"/>
          <w:szCs w:val="24"/>
        </w:rPr>
        <w:t>和教学内容的</w:t>
      </w:r>
      <w:r>
        <w:rPr>
          <w:sz w:val="24"/>
          <w:szCs w:val="24"/>
        </w:rPr>
        <w:t>评价最高，</w:t>
      </w:r>
      <w:r>
        <w:rPr>
          <w:rFonts w:hint="eastAsia"/>
          <w:sz w:val="24"/>
          <w:szCs w:val="24"/>
          <w:lang w:eastAsia="zh-CN"/>
        </w:rPr>
        <w:t>满意度均在</w:t>
      </w:r>
      <w:r>
        <w:rPr>
          <w:rFonts w:hint="default" w:ascii="Times New Roman" w:hAnsi="Times New Roman" w:cs="Times New Roman"/>
          <w:sz w:val="24"/>
          <w:szCs w:val="24"/>
          <w:lang w:val="en-US" w:eastAsia="zh-CN"/>
        </w:rPr>
        <w:t>93.90%</w:t>
      </w:r>
      <w:r>
        <w:rPr>
          <w:rFonts w:hint="eastAsia"/>
          <w:sz w:val="24"/>
          <w:szCs w:val="24"/>
          <w:lang w:val="en-US" w:eastAsia="zh-CN"/>
        </w:rPr>
        <w:t>以上。</w:t>
      </w:r>
    </w:p>
    <w:p>
      <w:pPr>
        <w:ind w:firstLine="0" w:firstLineChars="0"/>
        <w:jc w:val="center"/>
      </w:pPr>
      <w:r>
        <w:rPr>
          <w:sz w:val="24"/>
        </w:rPr>
        <mc:AlternateContent>
          <mc:Choice Requires="wps">
            <w:drawing>
              <wp:anchor distT="0" distB="0" distL="114300" distR="114300" simplePos="0" relativeHeight="251846656" behindDoc="0" locked="0" layoutInCell="1" allowOverlap="1">
                <wp:simplePos x="0" y="0"/>
                <wp:positionH relativeFrom="column">
                  <wp:posOffset>4427220</wp:posOffset>
                </wp:positionH>
                <wp:positionV relativeFrom="paragraph">
                  <wp:posOffset>1952625</wp:posOffset>
                </wp:positionV>
                <wp:extent cx="629285" cy="323850"/>
                <wp:effectExtent l="0" t="0" r="0" b="0"/>
                <wp:wrapNone/>
                <wp:docPr id="28" name="文本框 28"/>
                <wp:cNvGraphicFramePr/>
                <a:graphic xmlns:a="http://schemas.openxmlformats.org/drawingml/2006/main">
                  <a:graphicData uri="http://schemas.microsoft.com/office/word/2010/wordprocessingShape">
                    <wps:wsp>
                      <wps:cNvSpPr txBox="1"/>
                      <wps:spPr>
                        <a:xfrm>
                          <a:off x="6028055" y="7855585"/>
                          <a:ext cx="62928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6pt;margin-top:153.75pt;height:25.5pt;width:49.55pt;z-index:251846656;mso-width-relative:page;mso-height-relative:page;" filled="f" stroked="f" coordsize="21600,21600" o:gfxdata="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02uV33QAAAAsBAAAPAAAAAAAAAAEAIAAAACIAAABkcnMvZG93bnJldi54bWxQ&#10;SwECFAAUAAAACACHTuJAxzDPeCsCAAAlBAAADgAAAAAAAAABACAAAAAsAQAAZHJzL2Uyb0RvYy54&#10;bWxQSwUGAAAAAAYABgBZAQAAyQUAAAAA&#10;">
                <v:fill on="f" focussize="0,0"/>
                <v:stroke on="f" weight="0.5pt"/>
                <v:imagedata o:title=""/>
                <o:lock v:ext="edit" aspectratio="f"/>
                <v:textbox>
                  <w:txbxContent>
                    <w:p>
                      <w:pPr>
                        <w:rPr>
                          <w:rFonts w:hint="eastAsia" w:eastAsiaTheme="minorEastAsia"/>
                          <w:lang w:val="en-US" w:eastAsia="zh-CN"/>
                        </w:rPr>
                      </w:pPr>
                      <w:r>
                        <w:rPr>
                          <w:rFonts w:hint="eastAsia"/>
                          <w:lang w:val="en-US" w:eastAsia="zh-CN"/>
                        </w:rPr>
                        <w:t>%</w:t>
                      </w:r>
                    </w:p>
                  </w:txbxContent>
                </v:textbox>
              </v:shape>
            </w:pict>
          </mc:Fallback>
        </mc:AlternateContent>
      </w:r>
      <w:r>
        <w:drawing>
          <wp:inline distT="0" distB="0" distL="114300" distR="114300">
            <wp:extent cx="4319905" cy="2248535"/>
            <wp:effectExtent l="4445" t="4445" r="19050" b="1397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19"/>
        <w:rPr>
          <w:rFonts w:hint="eastAsia"/>
          <w:lang w:eastAsia="zh-CN"/>
        </w:rPr>
      </w:pPr>
      <w:r>
        <w:rPr>
          <w:rFonts w:hint="eastAsia"/>
        </w:rPr>
        <w:t>注：</w:t>
      </w:r>
      <w:r>
        <w:rPr>
          <w:rFonts w:hint="eastAsia"/>
          <w:lang w:val="en-US" w:eastAsia="zh-CN"/>
        </w:rPr>
        <w:t>1.</w:t>
      </w:r>
      <w:r>
        <w:rPr>
          <w:rFonts w:hint="eastAsia"/>
        </w:rPr>
        <w:t>针对教学态度认真负责、教学内容与时俱进、教学生动注重互动、注重课外沟通交流四个方面让毕业生进行评价，将评价维度</w:t>
      </w:r>
      <w:r>
        <w:rPr>
          <w:rFonts w:hint="eastAsia"/>
          <w:lang w:eastAsia="zh-CN"/>
        </w:rPr>
        <w:t>分为</w:t>
      </w:r>
      <w:r>
        <w:rPr>
          <w:rFonts w:hint="eastAsia"/>
        </w:rPr>
        <w:t>“很不符合、比较不符合、一般、比较符合和很符合”</w:t>
      </w:r>
      <w:r>
        <w:rPr>
          <w:rFonts w:hint="eastAsia"/>
          <w:lang w:eastAsia="zh-CN"/>
        </w:rPr>
        <w:t>；</w:t>
      </w:r>
    </w:p>
    <w:p>
      <w:pPr>
        <w:pStyle w:val="19"/>
      </w:pPr>
      <w:r>
        <w:rPr>
          <w:rFonts w:hint="eastAsia"/>
          <w:lang w:val="en-US" w:eastAsia="zh-CN"/>
        </w:rPr>
        <w:t>2.</w:t>
      </w:r>
      <w:r>
        <w:rPr>
          <w:rFonts w:hint="eastAsia"/>
          <w:caps/>
          <w:sz w:val="18"/>
          <w:lang w:eastAsia="zh-CN"/>
        </w:rPr>
        <w:t>满意度</w:t>
      </w:r>
      <w:r>
        <w:rPr>
          <w:rFonts w:hint="eastAsia" w:ascii="Times New Roman" w:hAnsi="Times New Roman"/>
          <w:caps/>
          <w:sz w:val="18"/>
        </w:rPr>
        <w:t>=很</w:t>
      </w:r>
      <w:r>
        <w:rPr>
          <w:rFonts w:hint="eastAsia"/>
          <w:caps/>
          <w:sz w:val="18"/>
          <w:lang w:eastAsia="zh-CN"/>
        </w:rPr>
        <w:t>符合</w:t>
      </w:r>
      <w:r>
        <w:rPr>
          <w:rFonts w:hint="eastAsia" w:ascii="Times New Roman" w:hAnsi="Times New Roman"/>
          <w:caps/>
          <w:sz w:val="18"/>
        </w:rPr>
        <w:t>+比较</w:t>
      </w:r>
      <w:r>
        <w:rPr>
          <w:rFonts w:hint="eastAsia"/>
          <w:caps/>
          <w:sz w:val="18"/>
          <w:lang w:eastAsia="zh-CN"/>
        </w:rPr>
        <w:t>符合</w:t>
      </w:r>
      <w:r>
        <w:rPr>
          <w:rFonts w:hint="eastAsia" w:ascii="Times New Roman" w:hAnsi="Times New Roman"/>
          <w:caps/>
          <w:sz w:val="18"/>
        </w:rPr>
        <w:t>+一般；</w:t>
      </w:r>
    </w:p>
    <w:p>
      <w:pPr>
        <w:pStyle w:val="19"/>
        <w:rPr>
          <w:rFonts w:ascii="黑体" w:hAnsi="黑体" w:eastAsia="黑体" w:cs="Times New Roman"/>
          <w:b/>
          <w:bCs/>
          <w:color w:val="000000" w:themeColor="text1"/>
          <w:sz w:val="30"/>
          <w:szCs w:val="30"/>
          <w14:textFill>
            <w14:solidFill>
              <w14:schemeClr w14:val="tx1"/>
            </w14:solidFill>
          </w14:textFill>
        </w:rPr>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r>
        <w:br w:type="page"/>
      </w:r>
    </w:p>
    <w:p>
      <w:pPr>
        <w:pStyle w:val="3"/>
        <w:rPr>
          <w:rFonts w:ascii="Times New Roman" w:hAnsi="Times New Roman"/>
        </w:rPr>
      </w:pPr>
      <w:r>
        <w:fldChar w:fldCharType="begin"/>
      </w:r>
      <w:r>
        <w:instrText xml:space="preserve"> HYPERLINK \l "_Toc397169585" </w:instrText>
      </w:r>
      <w:r>
        <w:fldChar w:fldCharType="separate"/>
      </w:r>
      <w:bookmarkStart w:id="67" w:name="_Toc439953138"/>
      <w:r>
        <w:rPr>
          <w:rFonts w:hint="eastAsia" w:ascii="Times New Roman" w:hAnsi="Times New Roman"/>
        </w:rPr>
        <w:t>三、毕业生就业能力的反馈</w:t>
      </w:r>
      <w:bookmarkEnd w:id="67"/>
      <w:r>
        <w:rPr>
          <w:rFonts w:hint="eastAsia" w:ascii="Times New Roman" w:hAnsi="Times New Roman"/>
        </w:rPr>
        <w:fldChar w:fldCharType="end"/>
      </w:r>
    </w:p>
    <w:p>
      <w:pPr>
        <w:pStyle w:val="18"/>
        <w:spacing w:before="312" w:after="156"/>
        <w:ind w:firstLine="482"/>
        <w:rPr>
          <w:sz w:val="24"/>
          <w:szCs w:val="24"/>
        </w:rPr>
      </w:pPr>
      <w:r>
        <w:rPr>
          <w:rFonts w:hint="eastAsia"/>
          <w:sz w:val="24"/>
          <w:szCs w:val="24"/>
        </w:rPr>
        <w:t>毕业生各项</w:t>
      </w:r>
      <w:r>
        <w:rPr>
          <w:sz w:val="24"/>
          <w:szCs w:val="24"/>
        </w:rPr>
        <w:t>就业能力</w:t>
      </w:r>
      <w:r>
        <w:rPr>
          <w:rFonts w:hint="eastAsia"/>
          <w:sz w:val="24"/>
          <w:szCs w:val="24"/>
        </w:rPr>
        <w:t>中</w:t>
      </w:r>
      <w:r>
        <w:rPr>
          <w:sz w:val="24"/>
          <w:szCs w:val="24"/>
        </w:rPr>
        <w:t>，</w:t>
      </w:r>
      <w:r>
        <w:rPr>
          <w:rFonts w:hint="eastAsia"/>
          <w:sz w:val="24"/>
          <w:szCs w:val="24"/>
        </w:rPr>
        <w:t>对从事工作的</w:t>
      </w:r>
      <w:r>
        <w:rPr>
          <w:sz w:val="24"/>
          <w:szCs w:val="24"/>
        </w:rPr>
        <w:t>满足度</w:t>
      </w:r>
      <w:r>
        <w:rPr>
          <w:rFonts w:hint="eastAsia"/>
          <w:sz w:val="24"/>
          <w:szCs w:val="24"/>
        </w:rPr>
        <w:t>相对较</w:t>
      </w:r>
      <w:r>
        <w:rPr>
          <w:sz w:val="24"/>
          <w:szCs w:val="24"/>
        </w:rPr>
        <w:t>高的是</w:t>
      </w:r>
      <w:r>
        <w:rPr>
          <w:rFonts w:hint="eastAsia"/>
          <w:sz w:val="24"/>
          <w:szCs w:val="24"/>
          <w:lang w:eastAsia="zh-CN"/>
        </w:rPr>
        <w:t>实干与执行能力</w:t>
      </w:r>
      <w:r>
        <w:rPr>
          <w:sz w:val="24"/>
          <w:szCs w:val="24"/>
        </w:rPr>
        <w:t>（</w:t>
      </w:r>
      <w:r>
        <w:rPr>
          <w:rFonts w:hint="default" w:ascii="Times New Roman" w:hAnsi="Times New Roman" w:cs="Times New Roman"/>
          <w:sz w:val="24"/>
          <w:szCs w:val="24"/>
          <w:lang w:val="en-US" w:eastAsia="zh-CN"/>
        </w:rPr>
        <w:t>96.27%</w:t>
      </w:r>
      <w:r>
        <w:rPr>
          <w:sz w:val="24"/>
          <w:szCs w:val="24"/>
        </w:rPr>
        <w:t>）</w:t>
      </w:r>
      <w:r>
        <w:rPr>
          <w:rFonts w:hint="eastAsia"/>
          <w:sz w:val="24"/>
          <w:szCs w:val="24"/>
        </w:rPr>
        <w:t>、</w:t>
      </w:r>
      <w:r>
        <w:rPr>
          <w:rFonts w:hint="eastAsia"/>
          <w:sz w:val="24"/>
          <w:szCs w:val="24"/>
          <w:lang w:eastAsia="zh-CN"/>
        </w:rPr>
        <w:t>人际沟通</w:t>
      </w:r>
      <w:r>
        <w:rPr>
          <w:sz w:val="24"/>
          <w:szCs w:val="24"/>
        </w:rPr>
        <w:t>能力（</w:t>
      </w:r>
      <w:r>
        <w:rPr>
          <w:rFonts w:hint="default" w:ascii="Times New Roman" w:hAnsi="Times New Roman" w:cs="Times New Roman"/>
          <w:sz w:val="24"/>
          <w:szCs w:val="24"/>
          <w:lang w:val="en-US" w:eastAsia="zh-CN"/>
        </w:rPr>
        <w:t>96.10%</w:t>
      </w:r>
      <w:r>
        <w:rPr>
          <w:sz w:val="24"/>
          <w:szCs w:val="24"/>
        </w:rPr>
        <w:t>）</w:t>
      </w:r>
      <w:r>
        <w:rPr>
          <w:rFonts w:hint="eastAsia"/>
          <w:sz w:val="24"/>
          <w:szCs w:val="24"/>
        </w:rPr>
        <w:t>及</w:t>
      </w:r>
      <w:r>
        <w:rPr>
          <w:rFonts w:hint="eastAsia"/>
          <w:sz w:val="24"/>
          <w:szCs w:val="24"/>
          <w:lang w:eastAsia="zh-CN"/>
        </w:rPr>
        <w:t>自学</w:t>
      </w:r>
      <w:r>
        <w:rPr>
          <w:sz w:val="24"/>
          <w:szCs w:val="24"/>
        </w:rPr>
        <w:t>能力（</w:t>
      </w:r>
      <w:r>
        <w:rPr>
          <w:rFonts w:hint="default" w:ascii="Times New Roman" w:hAnsi="Times New Roman" w:cs="Times New Roman"/>
          <w:sz w:val="24"/>
          <w:szCs w:val="24"/>
          <w:lang w:val="en-US" w:eastAsia="zh-CN"/>
        </w:rPr>
        <w:t>95.92%</w:t>
      </w:r>
      <w:r>
        <w:rPr>
          <w:sz w:val="24"/>
          <w:szCs w:val="24"/>
        </w:rPr>
        <w:t>）</w:t>
      </w:r>
    </w:p>
    <w:p>
      <w:pPr>
        <w:ind w:firstLine="0" w:firstLineChars="0"/>
        <w:jc w:val="center"/>
        <w:rPr>
          <w:rFonts w:hint="eastAsia" w:eastAsiaTheme="minorEastAsia"/>
          <w:lang w:eastAsia="zh-CN"/>
        </w:rPr>
      </w:pPr>
      <w:r>
        <w:rPr>
          <w:sz w:val="24"/>
        </w:rPr>
        <mc:AlternateContent>
          <mc:Choice Requires="wps">
            <w:drawing>
              <wp:anchor distT="0" distB="0" distL="114300" distR="114300" simplePos="0" relativeHeight="252036096" behindDoc="0" locked="0" layoutInCell="1" allowOverlap="1">
                <wp:simplePos x="0" y="0"/>
                <wp:positionH relativeFrom="column">
                  <wp:posOffset>4827270</wp:posOffset>
                </wp:positionH>
                <wp:positionV relativeFrom="paragraph">
                  <wp:posOffset>3510915</wp:posOffset>
                </wp:positionV>
                <wp:extent cx="629285" cy="32385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62928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1pt;margin-top:276.45pt;height:25.5pt;width:49.55pt;z-index:252036096;mso-width-relative:page;mso-height-relative:page;" filled="f" stroked="f" coordsize="21600,21600" o:gfxdata="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n&#10;5fb73AAAAAsBAAAPAAAAAAAAAAEAIAAAACIAAABkcnMvZG93bnJldi54bWxQSwECFAAUAAAACACH&#10;TuJAdAHbZSACAAAZBAAADgAAAAAAAAABACAAAAArAQAAZHJzL2Uyb0RvYy54bWxQSwUGAAAAAAYA&#10;BgBZAQAAvQUAAAAA&#10;">
                <v:fill on="f" focussize="0,0"/>
                <v:stroke on="f" weight="0.5pt"/>
                <v:imagedata o:title=""/>
                <o:lock v:ext="edit" aspectratio="f"/>
                <v:textbox>
                  <w:txbxContent>
                    <w:p>
                      <w:pPr>
                        <w:rPr>
                          <w:rFonts w:hint="eastAsia" w:eastAsiaTheme="minorEastAsia"/>
                          <w:lang w:val="en-US" w:eastAsia="zh-CN"/>
                        </w:rPr>
                      </w:pPr>
                      <w:r>
                        <w:rPr>
                          <w:rFonts w:hint="eastAsia"/>
                          <w:lang w:val="en-US" w:eastAsia="zh-CN"/>
                        </w:rPr>
                        <w:t>%</w:t>
                      </w:r>
                    </w:p>
                  </w:txbxContent>
                </v:textbox>
              </v:shape>
            </w:pict>
          </mc:Fallback>
        </mc:AlternateContent>
      </w:r>
      <w:r>
        <w:rPr>
          <w:rFonts w:hint="eastAsia" w:eastAsiaTheme="minorEastAsia"/>
          <w:lang w:eastAsia="zh-CN"/>
        </w:rPr>
        <w:drawing>
          <wp:inline distT="0" distB="0" distL="114300" distR="114300">
            <wp:extent cx="5080000" cy="3810000"/>
            <wp:effectExtent l="4445" t="4445" r="20955" b="14605"/>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19"/>
        <w:rPr>
          <w:rFonts w:hint="eastAsia"/>
          <w:lang w:eastAsia="zh-CN"/>
        </w:rPr>
      </w:pPr>
      <w:r>
        <w:rPr>
          <w:rFonts w:hint="eastAsia"/>
        </w:rPr>
        <w:t>注：</w:t>
      </w:r>
      <w:r>
        <w:rPr>
          <w:rFonts w:hint="eastAsia"/>
          <w:lang w:val="en-US" w:eastAsia="zh-CN"/>
        </w:rPr>
        <w:t>1.</w:t>
      </w:r>
      <w:r>
        <w:rPr>
          <w:rFonts w:hint="eastAsia"/>
        </w:rPr>
        <w:t>请毕业生对自身团队协作能力、实干与执行能力等18项能力进行自评</w:t>
      </w:r>
      <w:r>
        <w:rPr>
          <w:rFonts w:hint="eastAsia"/>
          <w:lang w:eastAsia="zh-CN"/>
        </w:rPr>
        <w:t>，将评价维度分为“很满足、比较满足、一般、比较不满足、很不满足”；</w:t>
      </w:r>
    </w:p>
    <w:p>
      <w:pPr>
        <w:pStyle w:val="19"/>
        <w:rPr>
          <w:lang w:val="en-US"/>
        </w:rPr>
      </w:pPr>
      <w:r>
        <w:rPr>
          <w:rFonts w:hint="eastAsia"/>
          <w:lang w:val="en-US" w:eastAsia="zh-CN"/>
        </w:rPr>
        <w:t>2.</w:t>
      </w:r>
      <w:r>
        <w:rPr>
          <w:rFonts w:hint="eastAsia"/>
          <w:caps/>
          <w:sz w:val="18"/>
          <w:lang w:eastAsia="zh-CN"/>
        </w:rPr>
        <w:t>满足度</w:t>
      </w:r>
      <w:r>
        <w:rPr>
          <w:rFonts w:hint="eastAsia" w:ascii="Times New Roman" w:hAnsi="Times New Roman"/>
          <w:caps/>
          <w:sz w:val="18"/>
        </w:rPr>
        <w:t>=很</w:t>
      </w:r>
      <w:r>
        <w:rPr>
          <w:rFonts w:hint="eastAsia"/>
          <w:caps/>
          <w:sz w:val="18"/>
          <w:lang w:eastAsia="zh-CN"/>
        </w:rPr>
        <w:t>满足</w:t>
      </w:r>
      <w:r>
        <w:rPr>
          <w:rFonts w:hint="eastAsia" w:ascii="Times New Roman" w:hAnsi="Times New Roman"/>
          <w:caps/>
          <w:sz w:val="18"/>
        </w:rPr>
        <w:t>+比较</w:t>
      </w:r>
      <w:r>
        <w:rPr>
          <w:rFonts w:hint="eastAsia"/>
          <w:caps/>
          <w:sz w:val="18"/>
          <w:lang w:eastAsia="zh-CN"/>
        </w:rPr>
        <w:t>满足</w:t>
      </w:r>
      <w:r>
        <w:rPr>
          <w:rFonts w:hint="eastAsia" w:ascii="Times New Roman" w:hAnsi="Times New Roman"/>
          <w:caps/>
          <w:sz w:val="18"/>
        </w:rPr>
        <w:t>+一般；</w:t>
      </w:r>
    </w:p>
    <w:p>
      <w:pPr>
        <w:pStyle w:val="19"/>
      </w:pPr>
      <w:r>
        <w:t>数据来源</w:t>
      </w:r>
      <w:r>
        <w:rPr>
          <w:rFonts w:hint="eastAsia"/>
        </w:rPr>
        <w:t>：</w:t>
      </w:r>
      <w:r>
        <w:rPr>
          <w:rFonts w:hint="eastAsia" w:ascii="Times New Roman" w:hAnsi="Times New Roman" w:cs="宋体"/>
          <w:color w:val="000000" w:themeColor="text1"/>
          <w:sz w:val="18"/>
          <w:szCs w:val="18"/>
          <w:lang w:eastAsia="zh-CN"/>
          <w14:textFill>
            <w14:solidFill>
              <w14:schemeClr w14:val="tx1"/>
            </w14:solidFill>
          </w14:textFill>
        </w:rPr>
        <w:t>重庆交通职业学院</w:t>
      </w:r>
      <w:r>
        <w:rPr>
          <w:rFonts w:hint="eastAsia" w:ascii="Times New Roman" w:hAnsi="Times New Roman" w:cs="宋体"/>
          <w:color w:val="000000" w:themeColor="text1"/>
          <w:sz w:val="18"/>
          <w:szCs w:val="18"/>
          <w:lang w:val="en-US" w:eastAsia="zh-CN"/>
          <w14:textFill>
            <w14:solidFill>
              <w14:schemeClr w14:val="tx1"/>
            </w14:solidFill>
          </w14:textFill>
        </w:rPr>
        <w:t>2016届毕业生调研数据</w:t>
      </w:r>
      <w:r>
        <w:t>。</w:t>
      </w:r>
    </w:p>
    <w:p>
      <w:pPr>
        <w:ind w:left="0" w:leftChars="0" w:firstLine="0" w:firstLineChars="0"/>
        <w:sectPr>
          <w:pgSz w:w="11906" w:h="16838"/>
          <w:pgMar w:top="1440" w:right="1800" w:bottom="1440" w:left="1800" w:header="851" w:footer="992" w:gutter="0"/>
          <w:cols w:space="425" w:num="1"/>
          <w:docGrid w:type="lines" w:linePitch="312" w:charSpace="0"/>
        </w:sectPr>
      </w:pPr>
    </w:p>
    <w:p>
      <w:pPr>
        <w:pStyle w:val="3"/>
      </w:pPr>
      <w:bookmarkStart w:id="68" w:name="_Toc439953139"/>
      <w:r>
        <w:rPr>
          <w:rFonts w:hint="eastAsia"/>
        </w:rPr>
        <w:t>四</w:t>
      </w:r>
      <w:r>
        <w:t>、</w:t>
      </w:r>
      <w:r>
        <w:rPr>
          <w:rFonts w:hint="eastAsia"/>
        </w:rPr>
        <w:t>对</w:t>
      </w:r>
      <w:r>
        <w:t>教育教学的反馈建议</w:t>
      </w:r>
      <w:bookmarkEnd w:id="68"/>
    </w:p>
    <w:p>
      <w:pPr>
        <w:pStyle w:val="4"/>
        <w:spacing w:before="156" w:after="156"/>
        <w:ind w:left="240"/>
      </w:pPr>
      <w:bookmarkStart w:id="69" w:name="_Toc436671529"/>
      <w:bookmarkStart w:id="70" w:name="_Toc439953140"/>
      <w:bookmarkStart w:id="71" w:name="_Toc434937615"/>
      <w:r>
        <w:rPr>
          <w:rFonts w:hint="eastAsia"/>
        </w:rPr>
        <w:t>（一</w:t>
      </w:r>
      <w:r>
        <w:t>）</w:t>
      </w:r>
      <w:r>
        <w:rPr>
          <w:rFonts w:hint="eastAsia"/>
        </w:rPr>
        <w:t>构建</w:t>
      </w:r>
      <w:r>
        <w:t>招生就业</w:t>
      </w:r>
      <w:r>
        <w:rPr>
          <w:rFonts w:hint="eastAsia"/>
        </w:rPr>
        <w:t>联动机制</w:t>
      </w:r>
      <w:r>
        <w:t>，</w:t>
      </w:r>
      <w:r>
        <w:rPr>
          <w:rFonts w:hint="eastAsia"/>
        </w:rPr>
        <w:t>发展</w:t>
      </w:r>
      <w:r>
        <w:t>优势学科</w:t>
      </w:r>
      <w:bookmarkEnd w:id="69"/>
      <w:bookmarkEnd w:id="70"/>
      <w:bookmarkEnd w:id="71"/>
    </w:p>
    <w:p>
      <w:pPr>
        <w:pStyle w:val="16"/>
        <w:spacing w:before="156" w:after="156"/>
        <w:rPr>
          <w:rFonts w:ascii="Times New Roman" w:hAnsi="Times New Roman"/>
        </w:rPr>
      </w:pPr>
      <w:r>
        <w:rPr>
          <w:rFonts w:hint="eastAsia" w:ascii="Times New Roman" w:hAnsi="Times New Roman"/>
        </w:rPr>
        <w:t>毕业生的就业率相对直观地反映出专业的社会需求和社会认可度，</w:t>
      </w:r>
      <w:r>
        <w:rPr>
          <w:rFonts w:ascii="Times New Roman" w:hAnsi="Times New Roman"/>
        </w:rPr>
        <w:t>并且</w:t>
      </w:r>
      <w:r>
        <w:rPr>
          <w:rFonts w:hint="eastAsia" w:ascii="Times New Roman" w:hAnsi="Times New Roman"/>
        </w:rPr>
        <w:t>直接影响着专业填报的热度。招生是高校人才培养的起点，充足而优质的生源是高校得以生存和发展的基础。学校</w:t>
      </w:r>
      <w:r>
        <w:rPr>
          <w:rFonts w:ascii="Times New Roman" w:hAnsi="Times New Roman"/>
        </w:rPr>
        <w:t>在每年专业招生计划的制定过程中，</w:t>
      </w:r>
      <w:r>
        <w:rPr>
          <w:rFonts w:hint="eastAsia" w:ascii="Times New Roman" w:hAnsi="Times New Roman"/>
        </w:rPr>
        <w:t>将</w:t>
      </w:r>
      <w:r>
        <w:rPr>
          <w:rFonts w:ascii="Times New Roman" w:hAnsi="Times New Roman"/>
        </w:rPr>
        <w:t>专业就业率和就业结构挂钩；</w:t>
      </w:r>
      <w:r>
        <w:rPr>
          <w:rFonts w:hint="eastAsia" w:ascii="Times New Roman" w:hAnsi="Times New Roman"/>
        </w:rPr>
        <w:t>且</w:t>
      </w:r>
      <w:r>
        <w:rPr>
          <w:rFonts w:ascii="Times New Roman" w:hAnsi="Times New Roman"/>
        </w:rPr>
        <w:t>实施专业预警和动态调整机制，学科专业设置与学生就业率挂钩</w:t>
      </w:r>
      <w:r>
        <w:rPr>
          <w:rFonts w:hint="eastAsia" w:ascii="Times New Roman" w:hAnsi="Times New Roman"/>
        </w:rPr>
        <w:t>，形成就业与招生的联动发展</w:t>
      </w:r>
      <w:r>
        <w:rPr>
          <w:rFonts w:hint="eastAsia" w:ascii="Times New Roman" w:hAnsi="Times New Roman"/>
          <w:lang w:eastAsia="zh-CN"/>
        </w:rPr>
        <w:t>的</w:t>
      </w:r>
      <w:r>
        <w:rPr>
          <w:rFonts w:hint="eastAsia" w:ascii="Times New Roman" w:hAnsi="Times New Roman"/>
        </w:rPr>
        <w:t>格局。就业率可作为</w:t>
      </w:r>
      <w:r>
        <w:rPr>
          <w:rFonts w:ascii="Times New Roman" w:hAnsi="Times New Roman"/>
        </w:rPr>
        <w:t>招生规模设置</w:t>
      </w:r>
      <w:r>
        <w:rPr>
          <w:rFonts w:hint="eastAsia" w:ascii="Times New Roman" w:hAnsi="Times New Roman"/>
        </w:rPr>
        <w:t>的重要</w:t>
      </w:r>
      <w:r>
        <w:rPr>
          <w:rFonts w:ascii="Times New Roman" w:hAnsi="Times New Roman"/>
        </w:rPr>
        <w:t>参考指标</w:t>
      </w:r>
      <w:r>
        <w:rPr>
          <w:rFonts w:hint="eastAsia" w:ascii="Times New Roman" w:hAnsi="Times New Roman"/>
        </w:rPr>
        <w:t>之一</w:t>
      </w:r>
      <w:r>
        <w:rPr>
          <w:rFonts w:ascii="Times New Roman" w:hAnsi="Times New Roman"/>
        </w:rPr>
        <w:t>，</w:t>
      </w:r>
      <w:r>
        <w:rPr>
          <w:rFonts w:hint="eastAsia" w:ascii="Times New Roman" w:hAnsi="Times New Roman"/>
        </w:rPr>
        <w:t>对于</w:t>
      </w:r>
      <w:r>
        <w:rPr>
          <w:rFonts w:ascii="Times New Roman" w:hAnsi="Times New Roman"/>
        </w:rPr>
        <w:t>就业优势专业，学校将</w:t>
      </w:r>
      <w:r>
        <w:rPr>
          <w:rFonts w:hint="eastAsia" w:ascii="Times New Roman" w:hAnsi="Times New Roman"/>
        </w:rPr>
        <w:t>结合</w:t>
      </w:r>
      <w:r>
        <w:rPr>
          <w:rFonts w:ascii="Times New Roman" w:hAnsi="Times New Roman"/>
        </w:rPr>
        <w:t>师资力量</w:t>
      </w:r>
      <w:r>
        <w:rPr>
          <w:rFonts w:hint="eastAsia" w:ascii="Times New Roman" w:hAnsi="Times New Roman"/>
        </w:rPr>
        <w:t>等</w:t>
      </w:r>
      <w:r>
        <w:rPr>
          <w:rFonts w:ascii="Times New Roman" w:hAnsi="Times New Roman"/>
        </w:rPr>
        <w:t>其他因素，从招生环节入手适当增大</w:t>
      </w:r>
      <w:r>
        <w:rPr>
          <w:rFonts w:hint="eastAsia" w:ascii="Times New Roman" w:hAnsi="Times New Roman"/>
        </w:rPr>
        <w:t>优势专业</w:t>
      </w:r>
      <w:r>
        <w:rPr>
          <w:rFonts w:ascii="Times New Roman" w:hAnsi="Times New Roman"/>
        </w:rPr>
        <w:t>的招生比例</w:t>
      </w:r>
      <w:r>
        <w:rPr>
          <w:rFonts w:hint="eastAsia" w:ascii="Times New Roman" w:hAnsi="Times New Roman"/>
        </w:rPr>
        <w:t>，缩减就业劣势</w:t>
      </w:r>
      <w:r>
        <w:rPr>
          <w:rFonts w:ascii="Times New Roman" w:hAnsi="Times New Roman"/>
        </w:rPr>
        <w:t>专业招生。</w:t>
      </w:r>
    </w:p>
    <w:p>
      <w:pPr>
        <w:pStyle w:val="4"/>
        <w:spacing w:before="156" w:after="156"/>
        <w:ind w:left="240"/>
      </w:pPr>
      <w:bookmarkStart w:id="72" w:name="_Toc439953141"/>
      <w:r>
        <w:rPr>
          <w:rFonts w:hint="eastAsia"/>
        </w:rPr>
        <w:t>（</w:t>
      </w:r>
      <w:r>
        <w:t>二</w:t>
      </w:r>
      <w:r>
        <w:rPr>
          <w:rFonts w:hint="eastAsia"/>
        </w:rPr>
        <w:t>）</w:t>
      </w:r>
      <w:r>
        <w:t>推进教学模式改革</w:t>
      </w:r>
      <w:r>
        <w:rPr>
          <w:rFonts w:hint="eastAsia"/>
        </w:rPr>
        <w:t>，培养</w:t>
      </w:r>
      <w:r>
        <w:t>创新型人才</w:t>
      </w:r>
      <w:bookmarkEnd w:id="72"/>
    </w:p>
    <w:p>
      <w:pPr>
        <w:pStyle w:val="16"/>
        <w:spacing w:before="156" w:after="156"/>
      </w:pPr>
      <w:r>
        <w:t>转变教学理念</w:t>
      </w:r>
      <w:r>
        <w:rPr>
          <w:rFonts w:hint="eastAsia"/>
        </w:rPr>
        <w:t>，</w:t>
      </w:r>
      <w:r>
        <w:t>逐步推进研究性教学模式</w:t>
      </w:r>
      <w:r>
        <w:rPr>
          <w:rFonts w:hint="eastAsia"/>
        </w:rPr>
        <w:t>，</w:t>
      </w:r>
      <w:r>
        <w:t>使教学模式从</w:t>
      </w:r>
      <w:r>
        <w:rPr>
          <w:rFonts w:hint="eastAsia"/>
        </w:rPr>
        <w:t>“</w:t>
      </w:r>
      <w:r>
        <w:t>接受式</w:t>
      </w:r>
      <w:r>
        <w:rPr>
          <w:rFonts w:hint="eastAsia"/>
        </w:rPr>
        <w:t>”</w:t>
      </w:r>
      <w:r>
        <w:t>转变为</w:t>
      </w:r>
      <w:r>
        <w:rPr>
          <w:rFonts w:hint="eastAsia"/>
        </w:rPr>
        <w:t>“</w:t>
      </w:r>
      <w:r>
        <w:t>创新式</w:t>
      </w:r>
      <w:r>
        <w:rPr>
          <w:rFonts w:hint="eastAsia"/>
        </w:rPr>
        <w:t>”，</w:t>
      </w:r>
      <w:r>
        <w:t>让学生由</w:t>
      </w:r>
      <w:r>
        <w:rPr>
          <w:rFonts w:hint="eastAsia"/>
        </w:rPr>
        <w:t>“</w:t>
      </w:r>
      <w:r>
        <w:t>知识的旁观者</w:t>
      </w:r>
      <w:r>
        <w:rPr>
          <w:rFonts w:hint="eastAsia"/>
        </w:rPr>
        <w:t>”</w:t>
      </w:r>
      <w:r>
        <w:t>转变为</w:t>
      </w:r>
      <w:r>
        <w:rPr>
          <w:rFonts w:hint="eastAsia"/>
        </w:rPr>
        <w:t>“</w:t>
      </w:r>
      <w:r>
        <w:t>知识的参与者</w:t>
      </w:r>
      <w:r>
        <w:rPr>
          <w:rFonts w:hint="eastAsia"/>
        </w:rPr>
        <w:t>”。在</w:t>
      </w:r>
      <w:r>
        <w:rPr>
          <w:rFonts w:hint="eastAsia" w:ascii="Times New Roman" w:hAnsi="Times New Roman" w:eastAsia="楷体" w:cs="Times New Roman"/>
          <w:caps/>
          <w:color w:val="auto"/>
          <w:szCs w:val="24"/>
        </w:rPr>
        <w:t>201</w:t>
      </w:r>
      <w:r>
        <w:rPr>
          <w:rFonts w:hint="eastAsia" w:ascii="Times New Roman" w:hAnsi="Times New Roman" w:eastAsia="楷体" w:cs="Times New Roman"/>
          <w:caps/>
          <w:color w:val="auto"/>
          <w:szCs w:val="24"/>
          <w:lang w:val="en-US" w:eastAsia="zh-CN"/>
        </w:rPr>
        <w:t>6</w:t>
      </w:r>
      <w:r>
        <w:rPr>
          <w:rFonts w:hint="eastAsia"/>
        </w:rPr>
        <w:t>届毕业生就业能力自评中，毕业生认为自身的创新能力和专业能力都有很大的提升空间，所以在未来的教学实践中，我校将</w:t>
      </w:r>
      <w:r>
        <w:t>以能力为导向</w:t>
      </w:r>
      <w:r>
        <w:rPr>
          <w:rFonts w:hint="eastAsia"/>
        </w:rPr>
        <w:t>，</w:t>
      </w:r>
      <w:r>
        <w:t>着力深化课程改革</w:t>
      </w:r>
      <w:r>
        <w:rPr>
          <w:rFonts w:hint="eastAsia"/>
        </w:rPr>
        <w:t>，</w:t>
      </w:r>
      <w:r>
        <w:t>进一步构建与培养目标相适应的内涵丰富</w:t>
      </w:r>
      <w:r>
        <w:rPr>
          <w:rFonts w:hint="eastAsia"/>
        </w:rPr>
        <w:t>、</w:t>
      </w:r>
      <w:r>
        <w:t>层次多样的课程范式</w:t>
      </w:r>
      <w:r>
        <w:rPr>
          <w:rFonts w:hint="eastAsia"/>
        </w:rPr>
        <w:t>，</w:t>
      </w:r>
      <w:r>
        <w:t>注重学生的多样性学习和成长需要</w:t>
      </w:r>
      <w:r>
        <w:rPr>
          <w:rFonts w:hint="eastAsia"/>
        </w:rPr>
        <w:t>，</w:t>
      </w:r>
      <w:r>
        <w:t>为社会输送更多创新型人才</w:t>
      </w:r>
      <w:r>
        <w:rPr>
          <w:rFonts w:hint="eastAsia"/>
        </w:rPr>
        <w:t>。</w:t>
      </w:r>
    </w:p>
    <w:p>
      <w:pPr>
        <w:pStyle w:val="4"/>
        <w:spacing w:before="156" w:after="156"/>
        <w:ind w:left="240"/>
      </w:pPr>
      <w:bookmarkStart w:id="73" w:name="_Toc439953142"/>
      <w:r>
        <w:rPr>
          <w:rFonts w:hint="eastAsia"/>
        </w:rPr>
        <w:t>（</w:t>
      </w:r>
      <w:r>
        <w:t>三</w:t>
      </w:r>
      <w:r>
        <w:rPr>
          <w:rFonts w:hint="eastAsia"/>
        </w:rPr>
        <w:t>）</w:t>
      </w:r>
      <w:r>
        <w:t>加强实践教学环节</w:t>
      </w:r>
      <w:r>
        <w:rPr>
          <w:rFonts w:hint="eastAsia"/>
        </w:rPr>
        <w:t>，</w:t>
      </w:r>
      <w:r>
        <w:t>提升毕业生的综合素质</w:t>
      </w:r>
      <w:bookmarkEnd w:id="73"/>
    </w:p>
    <w:p>
      <w:pPr>
        <w:pStyle w:val="16"/>
        <w:spacing w:before="156" w:after="156"/>
      </w:pPr>
      <w:r>
        <w:rPr>
          <w:rFonts w:cs="Times New Roman"/>
          <w:caps/>
          <w:color w:val="auto"/>
          <w:szCs w:val="24"/>
        </w:rPr>
        <w:t>在</w:t>
      </w:r>
      <w:r>
        <w:rPr>
          <w:rFonts w:hint="eastAsia" w:ascii="Times New Roman" w:hAnsi="Times New Roman" w:eastAsia="楷体" w:cs="Times New Roman"/>
          <w:caps/>
          <w:color w:val="auto"/>
          <w:szCs w:val="24"/>
        </w:rPr>
        <w:t>20</w:t>
      </w:r>
      <w:r>
        <w:rPr>
          <w:rFonts w:ascii="Times New Roman" w:hAnsi="Times New Roman" w:cs="Times New Roman"/>
        </w:rPr>
        <w:t>1</w:t>
      </w:r>
      <w:r>
        <w:rPr>
          <w:rFonts w:hint="eastAsia" w:ascii="Times New Roman" w:hAnsi="Times New Roman" w:cs="Times New Roman"/>
          <w:lang w:val="en-US" w:eastAsia="zh-CN"/>
        </w:rPr>
        <w:t>6</w:t>
      </w:r>
      <w:r>
        <w:rPr>
          <w:rFonts w:ascii="Times New Roman" w:hAnsi="Times New Roman" w:cs="Times New Roman"/>
        </w:rPr>
        <w:t>届毕业</w:t>
      </w:r>
      <w:r>
        <w:t>生的调</w:t>
      </w:r>
      <w:r>
        <w:rPr>
          <w:rFonts w:hint="eastAsia"/>
        </w:rPr>
        <w:t>研中，毕业生对实践教学环节评价较高，</w:t>
      </w:r>
      <w:r>
        <w:rPr>
          <w:rFonts w:hint="eastAsia" w:ascii="Times New Roman" w:hAnsi="Times New Roman" w:cs="Times New Roman"/>
          <w:lang w:val="en-US" w:eastAsia="zh-CN"/>
        </w:rPr>
        <w:t>73.22</w:t>
      </w:r>
      <w:r>
        <w:rPr>
          <w:rFonts w:ascii="Times New Roman" w:hAnsi="Times New Roman" w:cs="Times New Roman"/>
        </w:rPr>
        <w:t>%的</w:t>
      </w:r>
      <w:r>
        <w:t>毕业生认为教学</w:t>
      </w:r>
      <w:r>
        <w:rPr>
          <w:rFonts w:hint="eastAsia"/>
        </w:rPr>
        <w:t>实践</w:t>
      </w:r>
      <w:r>
        <w:t>环节有效果</w:t>
      </w:r>
      <w:r>
        <w:rPr>
          <w:rFonts w:hint="eastAsia"/>
        </w:rPr>
        <w:t>；</w:t>
      </w:r>
      <w:r>
        <w:rPr>
          <w:rFonts w:hint="eastAsia"/>
          <w:lang w:eastAsia="zh-CN"/>
        </w:rPr>
        <w:t>缺乏实践经验仍是</w:t>
      </w:r>
      <w:r>
        <w:rPr>
          <w:rFonts w:hint="eastAsia"/>
        </w:rPr>
        <w:t>毕业生反馈</w:t>
      </w:r>
      <w:r>
        <w:t>求职</w:t>
      </w:r>
      <w:r>
        <w:rPr>
          <w:rFonts w:hint="eastAsia"/>
        </w:rPr>
        <w:t>过程</w:t>
      </w:r>
      <w:r>
        <w:t>中的</w:t>
      </w:r>
      <w:r>
        <w:rPr>
          <w:rFonts w:hint="eastAsia"/>
        </w:rPr>
        <w:t>最</w:t>
      </w:r>
      <w:r>
        <w:t>主要困难</w:t>
      </w:r>
      <w:r>
        <w:rPr>
          <w:rFonts w:hint="eastAsia"/>
          <w:lang w:eastAsia="zh-CN"/>
        </w:rPr>
        <w:t>之一</w:t>
      </w:r>
      <w:r>
        <w:rPr>
          <w:rFonts w:hint="eastAsia"/>
        </w:rPr>
        <w:t>，进一步</w:t>
      </w:r>
      <w:r>
        <w:t>强调了</w:t>
      </w:r>
      <w:r>
        <w:rPr>
          <w:rFonts w:hint="eastAsia"/>
        </w:rPr>
        <w:t>学校加强实践</w:t>
      </w:r>
      <w:r>
        <w:t>教学</w:t>
      </w:r>
      <w:r>
        <w:rPr>
          <w:rFonts w:hint="eastAsia"/>
        </w:rPr>
        <w:t>的</w:t>
      </w:r>
      <w:r>
        <w:t>必要性和紧迫性。</w:t>
      </w:r>
      <w:r>
        <w:rPr>
          <w:rFonts w:hint="eastAsia"/>
        </w:rPr>
        <w:t>我院将更加注重</w:t>
      </w:r>
      <w:r>
        <w:t>实践教学</w:t>
      </w:r>
      <w:r>
        <w:rPr>
          <w:rFonts w:hint="eastAsia"/>
        </w:rPr>
        <w:t>，培养学生专业能力、综合素质。一是虚实结合，加大设计综合性实验比例。二是注重实效，加强学生工程能力训练。三是建设基地，强化实践教学环节落实。四是多方投入，推进卓越人才培养。</w:t>
      </w:r>
    </w:p>
    <w:p>
      <w:pPr>
        <w:pStyle w:val="16"/>
        <w:spacing w:before="156" w:after="156"/>
      </w:pPr>
    </w:p>
    <w:p>
      <w:pPr>
        <w:pStyle w:val="16"/>
        <w:spacing w:before="156" w:after="156"/>
      </w:pPr>
    </w:p>
    <w:p>
      <w:pPr>
        <w:pStyle w:val="4"/>
        <w:spacing w:before="156" w:after="156"/>
        <w:ind w:left="240"/>
      </w:pPr>
      <w:bookmarkStart w:id="74" w:name="_Toc439953143"/>
      <w:r>
        <w:rPr>
          <w:rFonts w:hint="eastAsia"/>
        </w:rPr>
        <w:t>（</w:t>
      </w:r>
      <w:r>
        <w:t>四</w:t>
      </w:r>
      <w:r>
        <w:rPr>
          <w:rFonts w:hint="eastAsia"/>
        </w:rPr>
        <w:t>）</w:t>
      </w:r>
      <w:r>
        <w:t>加强校企协同育人机制的探索</w:t>
      </w:r>
      <w:bookmarkEnd w:id="74"/>
    </w:p>
    <w:p>
      <w:pPr>
        <w:pStyle w:val="16"/>
        <w:spacing w:before="156" w:after="156"/>
      </w:pPr>
      <w:r>
        <w:rPr>
          <w:rFonts w:hint="eastAsia"/>
        </w:rPr>
        <w:t>在未来的发展中，要继续加强对学生职业生涯规划和就业指导的教育教学力度，努力帮助学生科学分析个人职业发展前景，加大择业和职业定位的力度。积极探索校企协同育人机制，充分利用用人单位的资源优势和人才优势，帮助毕业生在求职前能够对本行业或者本单位以及同类岗位的情况有所了解，通过加强与用人单位的交流合作，优势互补，采取参观实践、模拟面试、个体咨询等多种形式，加强对学生的就业教育和辅导。</w:t>
      </w:r>
    </w:p>
    <w:p>
      <w:pPr>
        <w:pStyle w:val="16"/>
        <w:spacing w:before="156" w:after="156"/>
        <w:rPr>
          <w:rFonts w:hint="eastAsia"/>
        </w:rPr>
      </w:pPr>
      <w:r>
        <w:rPr>
          <w:rFonts w:hint="eastAsia"/>
        </w:rPr>
        <w:t>学院将始终按照“立足交通、面向市场、服务社会”的办学理念和“就业为导向、素质为本位、能力为核心”的人才培养思路完善人才培养方案，加强实验实训建设，加大与企业合作力度，并继续推进“双百工程”的建设与落实。</w:t>
      </w:r>
    </w:p>
    <w:p>
      <w:pPr>
        <w:pStyle w:val="16"/>
        <w:spacing w:before="156" w:after="156"/>
        <w:ind w:left="0" w:leftChars="0" w:firstLine="0" w:firstLineChars="0"/>
      </w:pPr>
      <w:r>
        <w:rPr>
          <w:rFonts w:ascii="Times New Roman" w:hAnsi="Times New Roman"/>
          <w:szCs w:val="24"/>
        </w:rPr>
        <w:br w:type="page"/>
      </w:r>
      <w:r>
        <w:rPr>
          <w:rFonts w:ascii="黑体" w:hAnsi="黑体" w:eastAsia="黑体"/>
          <w:b/>
          <w:sz w:val="21"/>
        </w:rPr>
        <mc:AlternateContent>
          <mc:Choice Requires="wps">
            <w:drawing>
              <wp:anchor distT="0" distB="0" distL="114300" distR="114300" simplePos="0" relativeHeight="251672576" behindDoc="0" locked="0" layoutInCell="1" allowOverlap="1">
                <wp:simplePos x="0" y="0"/>
                <wp:positionH relativeFrom="column">
                  <wp:posOffset>1083310</wp:posOffset>
                </wp:positionH>
                <wp:positionV relativeFrom="paragraph">
                  <wp:posOffset>8418195</wp:posOffset>
                </wp:positionV>
                <wp:extent cx="2858135" cy="914400"/>
                <wp:effectExtent l="0" t="0" r="18415" b="0"/>
                <wp:wrapNone/>
                <wp:docPr id="30" name="文本框 30"/>
                <wp:cNvGraphicFramePr/>
                <a:graphic xmlns:a="http://schemas.openxmlformats.org/drawingml/2006/main">
                  <a:graphicData uri="http://schemas.microsoft.com/office/word/2010/wordprocessingShape">
                    <wps:wsp>
                      <wps:cNvSpPr txBox="1"/>
                      <wps:spPr>
                        <a:xfrm>
                          <a:off x="0" y="0"/>
                          <a:ext cx="2858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482"/>
                              <w:rPr>
                                <w:b/>
                                <w:szCs w:val="24"/>
                                <w:lang w:val="zh-CN"/>
                              </w:rPr>
                            </w:pPr>
                            <w:r>
                              <w:rPr>
                                <w:rFonts w:hint="eastAsia"/>
                                <w:b/>
                                <w:szCs w:val="24"/>
                                <w:lang w:val="zh-CN"/>
                              </w:rPr>
                              <w:t>重庆交通职业</w:t>
                            </w:r>
                            <w:r>
                              <w:rPr>
                                <w:b/>
                                <w:szCs w:val="24"/>
                                <w:lang w:val="zh-CN"/>
                              </w:rPr>
                              <w:t>学院就业处</w:t>
                            </w:r>
                            <w:r>
                              <w:rPr>
                                <w:rFonts w:hint="eastAsia"/>
                                <w:b/>
                                <w:szCs w:val="24"/>
                                <w:lang w:val="zh-CN"/>
                              </w:rPr>
                              <w:t xml:space="preserve">   编</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3pt;margin-top:662.85pt;height:72pt;width:225.05pt;mso-wrap-style:none;z-index:251672576;mso-width-relative:page;mso-height-relative:page;" fillcolor="#FFFFFF [3201]" filled="t" stroked="f" coordsize="21600,21600" o:gfxdata="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1UEmr2QAAAA0BAAAPAAAAAAAAAAEAIAAAACIAAABkcnMvZG93bnJl&#10;di54bWxQSwECFAAUAAAACACHTuJA7TppjTUCAABPBAAADgAAAAAAAAABACAAAAAoAQAAZHJzL2Uy&#10;b0RvYy54bWxQSwUGAAAAAAYABgBZAQAAzwUAAAAA&#10;">
                <v:fill on="t" focussize="0,0"/>
                <v:stroke on="f" weight="0.5pt"/>
                <v:imagedata o:title=""/>
                <o:lock v:ext="edit" aspectratio="f"/>
                <v:textbox>
                  <w:txbxContent>
                    <w:p>
                      <w:pPr>
                        <w:ind w:firstLine="482"/>
                        <w:rPr>
                          <w:b/>
                          <w:szCs w:val="24"/>
                          <w:lang w:val="zh-CN"/>
                        </w:rPr>
                      </w:pPr>
                      <w:r>
                        <w:rPr>
                          <w:rFonts w:hint="eastAsia"/>
                          <w:b/>
                          <w:szCs w:val="24"/>
                          <w:lang w:val="zh-CN"/>
                        </w:rPr>
                        <w:t>重庆交通职业</w:t>
                      </w:r>
                      <w:r>
                        <w:rPr>
                          <w:b/>
                          <w:szCs w:val="24"/>
                          <w:lang w:val="zh-CN"/>
                        </w:rPr>
                        <w:t>学院就业处</w:t>
                      </w:r>
                      <w:r>
                        <w:rPr>
                          <w:rFonts w:hint="eastAsia"/>
                          <w:b/>
                          <w:szCs w:val="24"/>
                          <w:lang w:val="zh-CN"/>
                        </w:rPr>
                        <w:t xml:space="preserve">   编</w:t>
                      </w:r>
                    </w:p>
                  </w:txbxContent>
                </v:textbox>
              </v:shape>
            </w:pict>
          </mc:Fallback>
        </mc:AlternateContent>
      </w:r>
      <w:r>
        <w:drawing>
          <wp:anchor distT="0" distB="0" distL="114300" distR="114300" simplePos="0" relativeHeight="251676672" behindDoc="0" locked="0" layoutInCell="1" allowOverlap="1">
            <wp:simplePos x="0" y="0"/>
            <wp:positionH relativeFrom="column">
              <wp:posOffset>1085850</wp:posOffset>
            </wp:positionH>
            <wp:positionV relativeFrom="paragraph">
              <wp:posOffset>457200</wp:posOffset>
            </wp:positionV>
            <wp:extent cx="3295650" cy="3000375"/>
            <wp:effectExtent l="0" t="0" r="0" b="952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95650" cy="3000375"/>
                    </a:xfrm>
                    <a:prstGeom prst="rect">
                      <a:avLst/>
                    </a:prstGeom>
                  </pic:spPr>
                </pic:pic>
              </a:graphicData>
            </a:graphic>
          </wp:anchor>
        </w:drawing>
      </w:r>
      <w:r>
        <w:rPr>
          <w:rFonts w:ascii="黑体" w:hAnsi="黑体" w:eastAsia="黑体"/>
          <w:b/>
          <w:sz w:val="21"/>
        </w:rPr>
        <w:drawing>
          <wp:anchor distT="0" distB="0" distL="114300" distR="114300" simplePos="0" relativeHeight="251671552" behindDoc="1" locked="0" layoutInCell="1" allowOverlap="1">
            <wp:simplePos x="0" y="0"/>
            <wp:positionH relativeFrom="column">
              <wp:posOffset>-1273175</wp:posOffset>
            </wp:positionH>
            <wp:positionV relativeFrom="paragraph">
              <wp:posOffset>-1771650</wp:posOffset>
            </wp:positionV>
            <wp:extent cx="7870190" cy="11525250"/>
            <wp:effectExtent l="0" t="0" r="1651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897396" cy="11565073"/>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ˎ̥">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Guli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Gungsuh">
    <w:panose1 w:val="02030600000101010101"/>
    <w:charset w:val="81"/>
    <w:family w:val="auto"/>
    <w:pitch w:val="default"/>
    <w:sig w:usb0="B00002AF" w:usb1="69D77CFB" w:usb2="00000030" w:usb3="00000000" w:csb0="4008009F" w:csb1="DFD70000"/>
  </w:font>
  <w:font w:name="Meiryo UI">
    <w:panose1 w:val="020B0604030504040204"/>
    <w:charset w:val="80"/>
    <w:family w:val="auto"/>
    <w:pitch w:val="default"/>
    <w:sig w:usb0="E10102FF" w:usb1="EAC7FFFF" w:usb2="00010012" w:usb3="00000000" w:csb0="6002009F" w:csb1="DFD70000"/>
  </w:font>
  <w:font w:name="MingLiU_HKSCS">
    <w:panose1 w:val="02020500000000000000"/>
    <w:charset w:val="88"/>
    <w:family w:val="auto"/>
    <w:pitch w:val="default"/>
    <w:sig w:usb0="A00002FF" w:usb1="38CFFCFA" w:usb2="00000016" w:usb3="00000000" w:csb0="00100001" w:csb1="00000000"/>
  </w:font>
  <w:font w:name="Baskerville Old Face">
    <w:panose1 w:val="02020602080505020303"/>
    <w:charset w:val="00"/>
    <w:family w:val="auto"/>
    <w:pitch w:val="default"/>
    <w:sig w:usb0="00000003" w:usb1="00000000" w:usb2="00000000" w:usb3="00000000" w:csb0="20000001" w:csb1="00000000"/>
  </w:font>
  <w:font w:name="Bell MT">
    <w:panose1 w:val="02020503060305020303"/>
    <w:charset w:val="00"/>
    <w:family w:val="auto"/>
    <w:pitch w:val="default"/>
    <w:sig w:usb0="00000003" w:usb1="00000000" w:usb2="00000000" w:usb3="00000000" w:csb0="20000001" w:csb1="00000000"/>
  </w:font>
  <w:font w:name="Berlin Sans FB">
    <w:panose1 w:val="020E0602020502020306"/>
    <w:charset w:val="00"/>
    <w:family w:val="auto"/>
    <w:pitch w:val="default"/>
    <w:sig w:usb0="00000003" w:usb1="00000000" w:usb2="00000000" w:usb3="00000000" w:csb0="20000001" w:csb1="00000000"/>
  </w:font>
  <w:font w:name="Bodoni MT">
    <w:panose1 w:val="02070603080606020203"/>
    <w:charset w:val="00"/>
    <w:family w:val="auto"/>
    <w:pitch w:val="default"/>
    <w:sig w:usb0="00000003" w:usb1="00000000" w:usb2="00000000" w:usb3="00000000" w:csb0="20000001" w:csb1="00000000"/>
  </w:font>
  <w:font w:name="Blackadder ITC">
    <w:panose1 w:val="04020505051007020D02"/>
    <w:charset w:val="00"/>
    <w:family w:val="auto"/>
    <w:pitch w:val="default"/>
    <w:sig w:usb0="00000003" w:usb1="00000000" w:usb2="00000000" w:usb3="00000000" w:csb0="20000001"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Tw Cen MT Condensed">
    <w:panose1 w:val="020B0606020104020203"/>
    <w:charset w:val="00"/>
    <w:family w:val="auto"/>
    <w:pitch w:val="default"/>
    <w:sig w:usb0="00000003" w:usb1="00000000" w:usb2="00000000" w:usb3="00000000" w:csb0="20000003" w:csb1="00000000"/>
  </w:font>
  <w:font w:name="Tw Cen MT">
    <w:panose1 w:val="020B0602020104020603"/>
    <w:charset w:val="00"/>
    <w:family w:val="auto"/>
    <w:pitch w:val="default"/>
    <w:sig w:usb0="00000003" w:usb1="00000000" w:usb2="00000000" w:usb3="00000000" w:csb0="20000003" w:csb1="00000000"/>
  </w:font>
  <w:font w:name="Tunga">
    <w:panose1 w:val="020B0502040204020203"/>
    <w:charset w:val="00"/>
    <w:family w:val="auto"/>
    <w:pitch w:val="default"/>
    <w:sig w:usb0="00400003" w:usb1="00000000" w:usb2="00000000" w:usb3="00000000" w:csb0="00000001" w:csb1="00000000"/>
  </w:font>
  <w:font w:name="Trebuchet MS">
    <w:panose1 w:val="020B0603020202020204"/>
    <w:charset w:val="00"/>
    <w:family w:val="auto"/>
    <w:pitch w:val="default"/>
    <w:sig w:usb0="00000287" w:usb1="00000000" w:usb2="00000000" w:usb3="00000000" w:csb0="2000009F" w:csb1="00000000"/>
  </w:font>
  <w:font w:name="Traditional Arabic">
    <w:panose1 w:val="02020603050405020304"/>
    <w:charset w:val="00"/>
    <w:family w:val="auto"/>
    <w:pitch w:val="default"/>
    <w:sig w:usb0="00006003" w:usb1="80000000" w:usb2="00000008" w:usb3="00000000" w:csb0="00000041" w:csb1="2008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舒体">
    <w:panose1 w:val="02010601030101010101"/>
    <w:charset w:val="86"/>
    <w:family w:val="auto"/>
    <w:pitch w:val="default"/>
    <w:sig w:usb0="00000003" w:usb1="080E0000" w:usb2="00000000" w:usb3="00000000" w:csb0="00040000" w:csb1="00000000"/>
  </w:font>
  <w:font w:name="color:black;line-height:15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0477331"/>
    </w:sdtPr>
    <w:sdtContent>
      <w:p>
        <w:pPr>
          <w:pStyle w:val="7"/>
          <w:ind w:firstLine="360"/>
          <w:jc w:val="center"/>
        </w:pPr>
        <w:r>
          <w:fldChar w:fldCharType="begin"/>
        </w:r>
        <w:r>
          <w:instrText xml:space="preserve">PAGE   \* MERGEFORMAT</w:instrText>
        </w:r>
        <w:r>
          <w:fldChar w:fldCharType="separate"/>
        </w:r>
        <w:r>
          <w:rPr>
            <w:lang w:val="zh-CN"/>
          </w:rPr>
          <w:t>34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0"/>
        <w:ind w:firstLine="360"/>
      </w:pPr>
      <w:r>
        <w:rPr>
          <w:rStyle w:val="14"/>
        </w:rPr>
        <w:footnoteRef/>
      </w:r>
      <w:r>
        <w:t xml:space="preserve"> </w:t>
      </w:r>
      <w:r>
        <w:rPr>
          <w:rFonts w:hint="eastAsia"/>
        </w:rPr>
        <w:t xml:space="preserve"> 单位就业包括签</w:t>
      </w:r>
      <w:r>
        <w:t>劳动合同就业和</w:t>
      </w:r>
      <w:r>
        <w:rPr>
          <w:rFonts w:hint="eastAsia"/>
        </w:rPr>
        <w:t>部队；针对单位就业（签</w:t>
      </w:r>
      <w:r>
        <w:t>劳动合同就业</w:t>
      </w:r>
      <w:r>
        <w:rPr>
          <w:rFonts w:hint="eastAsia"/>
        </w:rPr>
        <w:t>、</w:t>
      </w:r>
      <w:r>
        <w:t>部队</w:t>
      </w:r>
      <w:r>
        <w:rPr>
          <w:rFonts w:hint="eastAsia"/>
        </w:rPr>
        <w:t>）毕业生进一步分析其就业地区流向、就业行业流向和就业单位流向。</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rFonts w:hint="eastAsia"/>
      </w:rPr>
      <w:t>重庆</w:t>
    </w:r>
    <w:r>
      <w:t>交通职业学院</w:t>
    </w:r>
    <w:r>
      <w:rPr>
        <w:rFonts w:hint="eastAsia"/>
      </w:rPr>
      <w:t>201</w:t>
    </w:r>
    <w:r>
      <w:rPr>
        <w:rFonts w:hint="eastAsia"/>
        <w:lang w:val="en-US" w:eastAsia="zh-CN"/>
      </w:rPr>
      <w:t>6</w:t>
    </w:r>
    <w:r>
      <w:rPr>
        <w:rFonts w:hint="eastAsia"/>
      </w:rPr>
      <w:t>届</w:t>
    </w:r>
    <w:r>
      <w:t>毕业生就业质量</w:t>
    </w:r>
    <w:r>
      <w:rPr>
        <w:rFonts w:hint="eastAsia"/>
      </w:rPr>
      <w:t>年度报告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25AE7"/>
    <w:multiLevelType w:val="multilevel"/>
    <w:tmpl w:val="20C25AE7"/>
    <w:lvl w:ilvl="0" w:tentative="0">
      <w:start w:val="1"/>
      <w:numFmt w:val="japaneseCounting"/>
      <w:lvlText w:val="%1、"/>
      <w:lvlJc w:val="left"/>
      <w:pPr>
        <w:ind w:left="660" w:hanging="6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57738"/>
    <w:rsid w:val="01880203"/>
    <w:rsid w:val="046D4459"/>
    <w:rsid w:val="05857740"/>
    <w:rsid w:val="05B44655"/>
    <w:rsid w:val="06175B9A"/>
    <w:rsid w:val="063174B3"/>
    <w:rsid w:val="06CE69D9"/>
    <w:rsid w:val="08794826"/>
    <w:rsid w:val="093F0F08"/>
    <w:rsid w:val="0CAC61C8"/>
    <w:rsid w:val="0D3E06DA"/>
    <w:rsid w:val="101A5990"/>
    <w:rsid w:val="10FC1F41"/>
    <w:rsid w:val="11124FFC"/>
    <w:rsid w:val="120C696C"/>
    <w:rsid w:val="12B57A72"/>
    <w:rsid w:val="12FF27AD"/>
    <w:rsid w:val="137D1A30"/>
    <w:rsid w:val="16FA1DF0"/>
    <w:rsid w:val="1B1B3CC3"/>
    <w:rsid w:val="1C5417AF"/>
    <w:rsid w:val="1CAB2DAE"/>
    <w:rsid w:val="1DC71038"/>
    <w:rsid w:val="1FA12B17"/>
    <w:rsid w:val="1FB4590A"/>
    <w:rsid w:val="20CE2A6E"/>
    <w:rsid w:val="22246A54"/>
    <w:rsid w:val="232F27DA"/>
    <w:rsid w:val="28B055A2"/>
    <w:rsid w:val="294764E9"/>
    <w:rsid w:val="29F53E60"/>
    <w:rsid w:val="2A845587"/>
    <w:rsid w:val="2BD33A8F"/>
    <w:rsid w:val="2C755A2A"/>
    <w:rsid w:val="2D0A545A"/>
    <w:rsid w:val="2D514179"/>
    <w:rsid w:val="2D9F733D"/>
    <w:rsid w:val="352B1891"/>
    <w:rsid w:val="35512955"/>
    <w:rsid w:val="35686202"/>
    <w:rsid w:val="362F0D04"/>
    <w:rsid w:val="36781798"/>
    <w:rsid w:val="370224FC"/>
    <w:rsid w:val="37324C8E"/>
    <w:rsid w:val="377566F5"/>
    <w:rsid w:val="37E83508"/>
    <w:rsid w:val="37FF3498"/>
    <w:rsid w:val="389354E8"/>
    <w:rsid w:val="3BDB1F7D"/>
    <w:rsid w:val="3BE80E38"/>
    <w:rsid w:val="3F1E027B"/>
    <w:rsid w:val="3F6863DF"/>
    <w:rsid w:val="3F8350DD"/>
    <w:rsid w:val="40185012"/>
    <w:rsid w:val="407C71D3"/>
    <w:rsid w:val="43C81BE6"/>
    <w:rsid w:val="4554351F"/>
    <w:rsid w:val="46B914A9"/>
    <w:rsid w:val="49E652D4"/>
    <w:rsid w:val="4B6B285B"/>
    <w:rsid w:val="4C7A4797"/>
    <w:rsid w:val="4C932B79"/>
    <w:rsid w:val="4D4113E5"/>
    <w:rsid w:val="4EE441DA"/>
    <w:rsid w:val="4F5A19C6"/>
    <w:rsid w:val="50927E59"/>
    <w:rsid w:val="50B923B2"/>
    <w:rsid w:val="526A693C"/>
    <w:rsid w:val="52D50FE9"/>
    <w:rsid w:val="537F10CF"/>
    <w:rsid w:val="55461B93"/>
    <w:rsid w:val="567A2F42"/>
    <w:rsid w:val="569A60C8"/>
    <w:rsid w:val="57676F65"/>
    <w:rsid w:val="59D21590"/>
    <w:rsid w:val="59D933DA"/>
    <w:rsid w:val="5B854360"/>
    <w:rsid w:val="62584ED2"/>
    <w:rsid w:val="628E5781"/>
    <w:rsid w:val="64BB30D3"/>
    <w:rsid w:val="65357C41"/>
    <w:rsid w:val="6B7D3066"/>
    <w:rsid w:val="6E116059"/>
    <w:rsid w:val="6EF379B1"/>
    <w:rsid w:val="6F414A80"/>
    <w:rsid w:val="6FF67D9E"/>
    <w:rsid w:val="723469DA"/>
    <w:rsid w:val="740D31AD"/>
    <w:rsid w:val="768250E0"/>
    <w:rsid w:val="775B5675"/>
    <w:rsid w:val="77881506"/>
    <w:rsid w:val="77A60C67"/>
    <w:rsid w:val="789D7BFD"/>
    <w:rsid w:val="7B71498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line="360" w:lineRule="auto"/>
      <w:ind w:firstLine="200" w:firstLineChars="200"/>
    </w:pPr>
    <w:rPr>
      <w:rFonts w:asciiTheme="minorHAnsi" w:hAnsiTheme="minorHAnsi" w:eastAsiaTheme="minorEastAsia" w:cstheme="minorBidi"/>
      <w:sz w:val="24"/>
      <w:szCs w:val="22"/>
      <w:lang w:val="en-US" w:eastAsia="zh-CN" w:bidi="ar-SA"/>
    </w:rPr>
  </w:style>
  <w:style w:type="paragraph" w:styleId="2">
    <w:name w:val="heading 1"/>
    <w:basedOn w:val="1"/>
    <w:next w:val="1"/>
    <w:qFormat/>
    <w:uiPriority w:val="0"/>
    <w:pPr>
      <w:pBdr>
        <w:top w:val="single" w:color="AACDE8" w:sz="24" w:space="0"/>
        <w:left w:val="single" w:color="AACDE8" w:sz="24" w:space="0"/>
        <w:bottom w:val="single" w:color="AACDE8" w:sz="24" w:space="0"/>
        <w:right w:val="single" w:color="AACDE8" w:sz="24" w:space="0"/>
      </w:pBdr>
      <w:shd w:val="clear" w:color="auto" w:fill="AACDE8"/>
      <w:spacing w:after="150" w:afterLines="150" w:line="288" w:lineRule="auto"/>
      <w:jc w:val="center"/>
      <w:outlineLvl w:val="0"/>
    </w:pPr>
    <w:rPr>
      <w:rFonts w:eastAsia="黑体"/>
      <w:b/>
      <w:caps/>
      <w:sz w:val="36"/>
      <w:szCs w:val="22"/>
    </w:rPr>
  </w:style>
  <w:style w:type="paragraph" w:styleId="3">
    <w:name w:val="heading 2"/>
    <w:basedOn w:val="1"/>
    <w:next w:val="1"/>
    <w:unhideWhenUsed/>
    <w:qFormat/>
    <w:uiPriority w:val="0"/>
    <w:pPr>
      <w:pBdr>
        <w:top w:val="single" w:color="FFFFFF" w:themeColor="background1" w:sz="24" w:space="0"/>
        <w:left w:val="single" w:color="FFFFFF" w:themeColor="background1" w:sz="24" w:space="0"/>
        <w:bottom w:val="single" w:color="FFFFFF" w:themeColor="background1" w:sz="24" w:space="0"/>
        <w:right w:val="single" w:color="FFFFFF" w:themeColor="background1" w:sz="24" w:space="0"/>
      </w:pBdr>
      <w:spacing w:before="120" w:after="120" w:line="400" w:lineRule="atLeast"/>
      <w:ind w:firstLine="0" w:firstLineChars="0"/>
      <w:outlineLvl w:val="1"/>
    </w:pPr>
    <w:rPr>
      <w:rFonts w:eastAsia="黑体"/>
      <w:b/>
      <w:caps/>
      <w:sz w:val="32"/>
    </w:rPr>
  </w:style>
  <w:style w:type="paragraph" w:styleId="4">
    <w:name w:val="heading 3"/>
    <w:basedOn w:val="1"/>
    <w:next w:val="1"/>
    <w:unhideWhenUsed/>
    <w:qFormat/>
    <w:uiPriority w:val="0"/>
    <w:pPr>
      <w:spacing w:before="50" w:beforeLines="50" w:after="50" w:afterLines="50" w:line="400" w:lineRule="atLeast"/>
      <w:ind w:left="100" w:leftChars="100" w:firstLine="0" w:firstLineChars="0"/>
      <w:outlineLvl w:val="2"/>
    </w:pPr>
    <w:rPr>
      <w:rFonts w:eastAsia="黑体"/>
      <w:b/>
      <w:caps/>
      <w:sz w:val="28"/>
    </w:rPr>
  </w:style>
  <w:style w:type="paragraph" w:styleId="5">
    <w:name w:val="heading 4"/>
    <w:basedOn w:val="1"/>
    <w:next w:val="1"/>
    <w:unhideWhenUsed/>
    <w:qFormat/>
    <w:uiPriority w:val="0"/>
    <w:pPr>
      <w:spacing w:before="100" w:beforeLines="100" w:after="100" w:afterLines="100" w:line="400" w:lineRule="atLeast"/>
      <w:ind w:left="200" w:leftChars="200" w:firstLine="0" w:firstLineChars="0"/>
      <w:outlineLvl w:val="3"/>
    </w:pPr>
    <w:rPr>
      <w:rFonts w:eastAsia="黑体"/>
      <w:b/>
      <w:caps/>
    </w:rPr>
  </w:style>
  <w:style w:type="character" w:default="1" w:styleId="12">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6">
    <w:name w:val="toc 3"/>
    <w:basedOn w:val="1"/>
    <w:next w:val="1"/>
    <w:qFormat/>
    <w:uiPriority w:val="0"/>
    <w:pPr>
      <w:ind w:left="400" w:leftChars="400" w:firstLine="0" w:firstLineChars="0"/>
    </w:pPr>
  </w:style>
  <w:style w:type="paragraph" w:styleId="7">
    <w:name w:val="footer"/>
    <w:basedOn w:val="1"/>
    <w:qFormat/>
    <w:uiPriority w:val="0"/>
    <w:pPr>
      <w:tabs>
        <w:tab w:val="center" w:pos="4153"/>
        <w:tab w:val="right" w:pos="8306"/>
      </w:tabs>
      <w:snapToGrid w:val="0"/>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296"/>
      </w:tabs>
      <w:ind w:firstLine="0" w:firstLineChars="0"/>
    </w:pPr>
    <w:rPr>
      <w:b/>
    </w:rPr>
  </w:style>
  <w:style w:type="paragraph" w:styleId="10">
    <w:name w:val="footnote text"/>
    <w:basedOn w:val="1"/>
    <w:qFormat/>
    <w:uiPriority w:val="0"/>
    <w:pPr>
      <w:snapToGrid w:val="0"/>
    </w:pPr>
    <w:rPr>
      <w:sz w:val="18"/>
      <w:szCs w:val="18"/>
    </w:rPr>
  </w:style>
  <w:style w:type="paragraph" w:styleId="11">
    <w:name w:val="toc 2"/>
    <w:basedOn w:val="1"/>
    <w:next w:val="1"/>
    <w:qFormat/>
    <w:uiPriority w:val="0"/>
    <w:pPr>
      <w:ind w:left="200" w:leftChars="200" w:firstLine="0" w:firstLineChars="0"/>
    </w:pPr>
  </w:style>
  <w:style w:type="character" w:styleId="13">
    <w:name w:val="Hyperlink"/>
    <w:qFormat/>
    <w:uiPriority w:val="0"/>
    <w:rPr>
      <w:color w:val="0000FF"/>
      <w:u w:val="single"/>
    </w:rPr>
  </w:style>
  <w:style w:type="character" w:styleId="14">
    <w:name w:val="footnote reference"/>
    <w:basedOn w:val="12"/>
    <w:qFormat/>
    <w:uiPriority w:val="0"/>
    <w:rPr>
      <w:vertAlign w:val="superscript"/>
    </w:rPr>
  </w:style>
  <w:style w:type="paragraph" w:customStyle="1" w:styleId="16">
    <w:name w:val="报告正文样式"/>
    <w:basedOn w:val="1"/>
    <w:qFormat/>
    <w:uiPriority w:val="0"/>
    <w:pPr>
      <w:spacing w:beforeLines="50" w:after="163" w:afterLines="50"/>
      <w:ind w:firstLine="480"/>
    </w:pPr>
    <w:rPr>
      <w:rFonts w:cs="宋体" w:asciiTheme="minorEastAsia" w:hAnsiTheme="minorEastAsia"/>
      <w:color w:val="000000" w:themeColor="text1"/>
      <w:szCs w:val="21"/>
      <w14:textFill>
        <w14:solidFill>
          <w14:schemeClr w14:val="tx1"/>
        </w14:solidFill>
      </w14:textFill>
    </w:rPr>
  </w:style>
  <w:style w:type="paragraph" w:customStyle="1" w:styleId="17">
    <w:name w:val="TOC Heading"/>
    <w:next w:val="1"/>
    <w:unhideWhenUsed/>
    <w:qFormat/>
    <w:uiPriority w:val="39"/>
    <w:pPr>
      <w:shd w:val="clear" w:color="auto" w:fill="227FC2"/>
      <w:spacing w:before="0" w:after="150" w:afterLines="150" w:line="288" w:lineRule="auto"/>
      <w:jc w:val="center"/>
      <w:outlineLvl w:val="0"/>
    </w:pPr>
    <w:rPr>
      <w:rFonts w:eastAsia="黑体" w:asciiTheme="minorHAnsi" w:hAnsiTheme="minorHAnsi" w:cstheme="minorBidi"/>
      <w:b/>
      <w:caps/>
      <w:color w:val="FFFFFF" w:themeColor="background1"/>
      <w:spacing w:val="15"/>
      <w:sz w:val="36"/>
      <w:szCs w:val="22"/>
      <w:lang w:val="en-US" w:eastAsia="zh-CN" w:bidi="ar-SA"/>
      <w14:textFill>
        <w14:solidFill>
          <w14:schemeClr w14:val="bg1"/>
        </w14:solidFill>
      </w14:textFill>
    </w:rPr>
  </w:style>
  <w:style w:type="paragraph" w:customStyle="1" w:styleId="18">
    <w:name w:val="结论"/>
    <w:next w:val="1"/>
    <w:link w:val="21"/>
    <w:qFormat/>
    <w:uiPriority w:val="0"/>
    <w:pPr>
      <w:pBdr>
        <w:top w:val="dotted" w:color="227FC2" w:sz="4" w:space="1"/>
      </w:pBdr>
      <w:spacing w:before="100" w:beforeLines="100" w:after="50" w:afterLines="50" w:line="400" w:lineRule="atLeast"/>
      <w:ind w:firstLine="200" w:firstLineChars="200"/>
    </w:pPr>
    <w:rPr>
      <w:rFonts w:eastAsia="楷体" w:asciiTheme="minorHAnsi" w:hAnsiTheme="minorHAnsi" w:cstheme="minorBidi"/>
      <w:b/>
      <w:caps/>
      <w:color w:val="227FC2"/>
      <w:sz w:val="22"/>
      <w:szCs w:val="22"/>
      <w:lang w:val="en-US" w:eastAsia="zh-CN" w:bidi="ar-SA"/>
    </w:rPr>
  </w:style>
  <w:style w:type="paragraph" w:customStyle="1" w:styleId="19">
    <w:name w:val="注"/>
    <w:next w:val="1"/>
    <w:link w:val="24"/>
    <w:qFormat/>
    <w:uiPriority w:val="0"/>
    <w:pPr>
      <w:spacing w:before="0" w:after="0" w:line="288" w:lineRule="auto"/>
    </w:pPr>
    <w:rPr>
      <w:rFonts w:ascii="Times New Roman" w:hAnsi="Times New Roman" w:eastAsiaTheme="minorEastAsia" w:cstheme="minorBidi"/>
      <w:caps/>
      <w:sz w:val="18"/>
      <w:szCs w:val="22"/>
      <w:lang w:val="en-US" w:eastAsia="zh-CN" w:bidi="ar-SA"/>
    </w:rPr>
  </w:style>
  <w:style w:type="table" w:customStyle="1" w:styleId="20">
    <w:name w:val="Grid Table 4 Accent 1"/>
    <w:basedOn w:val="15"/>
    <w:qFormat/>
    <w:uiPriority w:val="49"/>
    <w:pPr>
      <w:spacing w:after="0" w:line="240" w:lineRule="auto"/>
    </w:p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Pr>
    <w:tblStylePr w:type="firstRow">
      <w:rPr>
        <w:b/>
        <w:bCs/>
        <w:color w:val="FFFFFF" w:themeColor="background1"/>
        <w14:textFill>
          <w14:solidFill>
            <w14:schemeClr w14:val="bg1"/>
          </w14:solidFill>
        </w14:textFill>
      </w:rPr>
      <w:tblPr>
        <w:tblLayout w:type="fixed"/>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blLayout w:type="fixed"/>
      </w:tblPr>
      <w:tcPr>
        <w:tcBorders>
          <w:top w:val="double" w:color="5B9BD5" w:themeColor="accent1" w:sz="4" w:space="0"/>
        </w:tcBorders>
      </w:tcPr>
    </w:tblStylePr>
    <w:tblStylePr w:type="firstCol">
      <w:rPr>
        <w:b/>
        <w:bCs/>
      </w:rPr>
    </w:tblStylePr>
    <w:tblStylePr w:type="lastCol">
      <w:rPr>
        <w:b/>
        <w:bCs/>
      </w:rPr>
    </w:tblStylePr>
    <w:tblStylePr w:type="band1Vert">
      <w:tblPr>
        <w:tblLayout w:type="fixed"/>
      </w:tblPr>
      <w:tcPr>
        <w:shd w:val="clear" w:color="auto" w:fill="DEEAF6" w:themeFill="accent1" w:themeFillTint="33"/>
      </w:tcPr>
    </w:tblStylePr>
    <w:tblStylePr w:type="band1Horz">
      <w:tblPr>
        <w:tblLayout w:type="fixed"/>
      </w:tblPr>
      <w:tcPr>
        <w:shd w:val="clear" w:color="auto" w:fill="DEEAF6" w:themeFill="accent1" w:themeFillTint="33"/>
      </w:tcPr>
    </w:tblStylePr>
  </w:style>
  <w:style w:type="character" w:customStyle="1" w:styleId="21">
    <w:name w:val="结论 Char"/>
    <w:basedOn w:val="12"/>
    <w:link w:val="18"/>
    <w:qFormat/>
    <w:uiPriority w:val="0"/>
    <w:rPr>
      <w:rFonts w:eastAsia="楷体" w:asciiTheme="minorHAnsi" w:hAnsiTheme="minorHAnsi" w:cstheme="minorBidi"/>
      <w:b/>
      <w:caps/>
      <w:color w:val="227FC2"/>
      <w:sz w:val="22"/>
      <w:lang w:val="en-US" w:eastAsia="zh-CN" w:bidi="ar-SA"/>
    </w:rPr>
  </w:style>
  <w:style w:type="paragraph" w:customStyle="1" w:styleId="22">
    <w:name w:val="五级标题"/>
    <w:basedOn w:val="5"/>
    <w:qFormat/>
    <w:uiPriority w:val="0"/>
    <w:pPr>
      <w:spacing w:before="50" w:beforeLines="50" w:after="50" w:afterLines="50"/>
    </w:pPr>
  </w:style>
  <w:style w:type="paragraph" w:customStyle="1" w:styleId="23">
    <w:name w:val="新报告二级"/>
    <w:basedOn w:val="1"/>
    <w:qFormat/>
    <w:uiPriority w:val="99"/>
    <w:pPr>
      <w:spacing w:before="260" w:beforeLines="50" w:after="163" w:afterLines="50"/>
      <w:outlineLvl w:val="1"/>
    </w:pPr>
    <w:rPr>
      <w:rFonts w:ascii="黑体" w:hAnsi="黑体" w:eastAsia="黑体" w:cs="Times New Roman"/>
      <w:b/>
      <w:bCs/>
      <w:color w:val="000000" w:themeColor="text1"/>
      <w:sz w:val="30"/>
      <w:szCs w:val="30"/>
      <w14:textFill>
        <w14:solidFill>
          <w14:schemeClr w14:val="tx1"/>
        </w14:solidFill>
      </w14:textFill>
    </w:rPr>
  </w:style>
  <w:style w:type="character" w:customStyle="1" w:styleId="24">
    <w:name w:val="注 Char"/>
    <w:basedOn w:val="12"/>
    <w:link w:val="19"/>
    <w:qFormat/>
    <w:uiPriority w:val="0"/>
    <w:rPr>
      <w:rFonts w:ascii="Times New Roman" w:hAnsi="Times New Roman" w:eastAsiaTheme="minorEastAsia" w:cstheme="minorBidi"/>
      <w:caps/>
      <w:sz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jpeg"/><Relationship Id="rId50" Type="http://schemas.openxmlformats.org/officeDocument/2006/relationships/chart" Target="charts/chart38.xml"/><Relationship Id="rId5" Type="http://schemas.openxmlformats.org/officeDocument/2006/relationships/header" Target="header2.xml"/><Relationship Id="rId49" Type="http://schemas.openxmlformats.org/officeDocument/2006/relationships/chart" Target="charts/chart37.xml"/><Relationship Id="rId48" Type="http://schemas.openxmlformats.org/officeDocument/2006/relationships/chart" Target="charts/chart36.xml"/><Relationship Id="rId47" Type="http://schemas.openxmlformats.org/officeDocument/2006/relationships/chart" Target="charts/chart35.xml"/><Relationship Id="rId46" Type="http://schemas.openxmlformats.org/officeDocument/2006/relationships/chart" Target="charts/chart34.xml"/><Relationship Id="rId45" Type="http://schemas.openxmlformats.org/officeDocument/2006/relationships/chart" Target="charts/chart33.xml"/><Relationship Id="rId44" Type="http://schemas.openxmlformats.org/officeDocument/2006/relationships/chart" Target="charts/chart32.xml"/><Relationship Id="rId43" Type="http://schemas.openxmlformats.org/officeDocument/2006/relationships/chart" Target="charts/chart31.xml"/><Relationship Id="rId42" Type="http://schemas.openxmlformats.org/officeDocument/2006/relationships/chart" Target="charts/chart30.xml"/><Relationship Id="rId41" Type="http://schemas.openxmlformats.org/officeDocument/2006/relationships/chart" Target="charts/chart29.xml"/><Relationship Id="rId40" Type="http://schemas.openxmlformats.org/officeDocument/2006/relationships/chart" Target="charts/chart28.xml"/><Relationship Id="rId4" Type="http://schemas.openxmlformats.org/officeDocument/2006/relationships/header" Target="header1.xml"/><Relationship Id="rId39" Type="http://schemas.openxmlformats.org/officeDocument/2006/relationships/chart" Target="charts/chart27.xml"/><Relationship Id="rId38" Type="http://schemas.openxmlformats.org/officeDocument/2006/relationships/chart" Target="charts/chart26.xml"/><Relationship Id="rId37" Type="http://schemas.openxmlformats.org/officeDocument/2006/relationships/chart" Target="charts/chart25.xml"/><Relationship Id="rId36" Type="http://schemas.openxmlformats.org/officeDocument/2006/relationships/chart" Target="charts/chart24.xml"/><Relationship Id="rId35" Type="http://schemas.openxmlformats.org/officeDocument/2006/relationships/chart" Target="charts/chart23.xml"/><Relationship Id="rId34" Type="http://schemas.openxmlformats.org/officeDocument/2006/relationships/chart" Target="charts/chart22.xml"/><Relationship Id="rId33" Type="http://schemas.openxmlformats.org/officeDocument/2006/relationships/chart" Target="charts/chart21.xml"/><Relationship Id="rId32" Type="http://schemas.openxmlformats.org/officeDocument/2006/relationships/chart" Target="charts/chart20.xml"/><Relationship Id="rId31" Type="http://schemas.openxmlformats.org/officeDocument/2006/relationships/chart" Target="charts/chart19.xml"/><Relationship Id="rId30" Type="http://schemas.openxmlformats.org/officeDocument/2006/relationships/chart" Target="charts/chart18.xml"/><Relationship Id="rId3" Type="http://schemas.openxmlformats.org/officeDocument/2006/relationships/footnotes" Target="footnotes.xml"/><Relationship Id="rId29" Type="http://schemas.openxmlformats.org/officeDocument/2006/relationships/chart" Target="charts/chart17.xml"/><Relationship Id="rId28" Type="http://schemas.openxmlformats.org/officeDocument/2006/relationships/chart" Target="charts/chart16.xml"/><Relationship Id="rId27" Type="http://schemas.openxmlformats.org/officeDocument/2006/relationships/chart" Target="charts/chart15.xml"/><Relationship Id="rId26" Type="http://schemas.openxmlformats.org/officeDocument/2006/relationships/chart" Target="charts/chart14.xml"/><Relationship Id="rId25" Type="http://schemas.openxmlformats.org/officeDocument/2006/relationships/chart" Target="charts/chart13.xml"/><Relationship Id="rId24" Type="http://schemas.openxmlformats.org/officeDocument/2006/relationships/chart" Target="charts/chart12.xml"/><Relationship Id="rId23" Type="http://schemas.openxmlformats.org/officeDocument/2006/relationships/chart" Target="charts/chart11.xml"/><Relationship Id="rId22" Type="http://schemas.openxmlformats.org/officeDocument/2006/relationships/chart" Target="charts/chart10.xml"/><Relationship Id="rId21" Type="http://schemas.openxmlformats.org/officeDocument/2006/relationships/chart" Target="charts/chart9.xml"/><Relationship Id="rId20" Type="http://schemas.openxmlformats.org/officeDocument/2006/relationships/chart" Target="charts/chart8.xml"/><Relationship Id="rId2" Type="http://schemas.openxmlformats.org/officeDocument/2006/relationships/settings" Target="settings.xml"/><Relationship Id="rId19" Type="http://schemas.openxmlformats.org/officeDocument/2006/relationships/chart" Target="charts/chart7.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7.xlsx"/></Relationships>
</file>

<file path=word/charts/_rels/chart10.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5.xlsx"/></Relationships>
</file>

<file path=word/charts/_rels/chart1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4.xlsx"/></Relationships>
</file>

<file path=word/charts/_rels/chart1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6.xlsx"/></Relationships>
</file>

<file path=word/charts/_rels/chart1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tempBb.xls"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Workbook13.xlsx"/></Relationships>
</file>

<file path=word/charts/_rels/chart15.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package" Target="../embeddings/Workbook14.xlsx"/></Relationships>
</file>

<file path=word/charts/_rels/chart16.xml.rels><?xml version="1.0" encoding="UTF-8" standalone="yes"?>
<Relationships xmlns="http://schemas.openxmlformats.org/package/2006/relationships"><Relationship Id="rId1" Type="http://schemas.openxmlformats.org/officeDocument/2006/relationships/oleObject" Target="file:///C:\Users\ADMINI~1\AppData\Local\Temp\wps.Gg4964\Workbook13.xlsx" TargetMode="External"/></Relationships>
</file>

<file path=word/charts/_rels/chart17.xml.rels><?xml version="1.0" encoding="UTF-8" standalone="yes"?>
<Relationships xmlns="http://schemas.openxmlformats.org/package/2006/relationships"><Relationship Id="rId4" Type="http://schemas.microsoft.com/office/2011/relationships/chartColorStyle" Target="colors16.xml"/><Relationship Id="rId3" Type="http://schemas.microsoft.com/office/2011/relationships/chartStyle" Target="style16.xml"/><Relationship Id="rId2" Type="http://schemas.openxmlformats.org/officeDocument/2006/relationships/themeOverride" Target="../theme/themeOverride1.xml"/><Relationship Id="rId1" Type="http://schemas.openxmlformats.org/officeDocument/2006/relationships/package" Target="../embeddings/Workbook15.xlsx"/></Relationships>
</file>

<file path=word/charts/_rels/chart18.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package" Target="../embeddings/Workbook16.xlsx"/></Relationships>
</file>

<file path=word/charts/_rels/chart19.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package" Target="../embeddings/Workbook17.xlsx"/></Relationships>
</file>

<file path=word/charts/_rels/chart2.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8.xlsx"/></Relationships>
</file>

<file path=word/charts/_rels/chart20.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package" Target="../embeddings/Workbook18.xlsx"/></Relationships>
</file>

<file path=word/charts/_rels/chart21.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package" Target="../embeddings/Workbook19.xlsx"/></Relationships>
</file>

<file path=word/charts/_rels/chart22.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file:///C:\Users\Administrator\Desktop\&#34892;&#19994;&#38376;&#31867;&#34218;&#27700;.xls"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package" Target="../embeddings/Workbook28.xlsx"/></Relationships>
</file>

<file path=word/charts/_rels/chart24.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package" Target="../embeddings/Workbook29.xlsx"/></Relationships>
</file>

<file path=word/charts/_rels/chart25.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package" Target="../embeddings/Workbook30.xlsx"/></Relationships>
</file>

<file path=word/charts/_rels/chart26.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package" Target="../embeddings/Workbook31.xlsx"/></Relationships>
</file>

<file path=word/charts/_rels/chart27.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package" Target="../embeddings/Workbook32.xlsx"/></Relationships>
</file>

<file path=word/charts/_rels/chart28.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package" Target="../embeddings/Workbook33.xlsx"/></Relationships>
</file>

<file path=word/charts/_rels/chart29.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package" Target="../embeddings/Workbook34.xlsx"/></Relationships>
</file>

<file path=word/charts/_rels/chart3.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9.xlsx"/></Relationships>
</file>

<file path=word/charts/_rels/chart30.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package" Target="../embeddings/Workbook20.xlsx"/></Relationships>
</file>

<file path=word/charts/_rels/chart31.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package" Target="../embeddings/Workbook21.xlsx"/></Relationships>
</file>

<file path=word/charts/_rels/chart32.xml.rels><?xml version="1.0" encoding="UTF-8" standalone="yes"?>
<Relationships xmlns="http://schemas.openxmlformats.org/package/2006/relationships"><Relationship Id="rId1" Type="http://schemas.openxmlformats.org/officeDocument/2006/relationships/oleObject" Target="file:///C:\Users\ADMINI~1\AppData\Local\Temp\wps.ER6000\Workbook25.xlsx"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package" Target="../embeddings/Workbook22.xlsx"/></Relationships>
</file>

<file path=word/charts/_rels/chart34.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package" Target="../embeddings/Workbook23.xlsx"/></Relationships>
</file>

<file path=word/charts/_rels/chart35.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package" Target="../embeddings/Workbook24.xlsx"/></Relationships>
</file>

<file path=word/charts/_rels/chart36.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package" Target="../embeddings/Workbook25.xlsx"/></Relationships>
</file>

<file path=word/charts/_rels/chart37.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package" Target="../embeddings/Workbook26.xlsx"/></Relationships>
</file>

<file path=word/charts/_rels/chart38.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package" Target="../embeddings/Workbook27.xlsx"/></Relationships>
</file>

<file path=word/charts/_rels/chart4.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10.xlsx"/></Relationships>
</file>

<file path=word/charts/_rels/chart5.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11.xlsx"/></Relationships>
</file>

<file path=word/charts/_rels/chart6.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12.xlsx"/></Relationships>
</file>

<file path=word/charts/_rels/chart7.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8.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9.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spPr/>
          <c:explosion val="0"/>
          <c:dPt>
            <c:idx val="0"/>
            <c:bubble3D val="0"/>
            <c:spPr>
              <a:solidFill>
                <a:schemeClr val="accent1">
                  <a:shade val="76000"/>
                </a:schemeClr>
              </a:solidFill>
              <a:ln>
                <a:noFill/>
              </a:ln>
              <a:effectLst/>
            </c:spPr>
          </c:dPt>
          <c:dPt>
            <c:idx val="1"/>
            <c:bubble3D val="0"/>
            <c:spPr>
              <a:solidFill>
                <a:schemeClr val="accent1">
                  <a:tint val="77000"/>
                </a:schemeClr>
              </a:solidFill>
              <a:ln>
                <a:noFill/>
              </a:ln>
              <a:effectLst/>
            </c:spPr>
          </c:dPt>
          <c:dLbls>
            <c:dLbl>
              <c:idx val="0"/>
              <c:layout>
                <c:manualLayout>
                  <c:x val="0.149393174717616"/>
                  <c:y val="0.0881059782776026"/>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61443839211879"/>
                      <c:h val="0.258045977011494"/>
                    </c:manualLayout>
                  </c15:layout>
                </c:ext>
              </c:extLst>
            </c:dLbl>
            <c:dLbl>
              <c:idx val="1"/>
              <c:layout>
                <c:manualLayout>
                  <c:x val="-0.135093751123575"/>
                  <c:y val="-0.17289724560292"/>
                </c:manualLayout>
              </c:layout>
              <c:numFmt formatCode="0.00%" sourceLinked="0"/>
              <c:spPr>
                <a:noFill/>
                <a:ln w="25400">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chemeClr val="dk1"/>
                      </a:solidFill>
                      <a:latin typeface="+mn-lt"/>
                      <a:ea typeface="+mn-ea"/>
                      <a:cs typeface="+mn-cs"/>
                    </a:defRPr>
                  </a:pPr>
                </a:p>
              </c:txPr>
              <c:showLegendKey val="0"/>
              <c:showVal val="0"/>
              <c:showCatName val="1"/>
              <c:showSerName val="0"/>
              <c:showPercent val="1"/>
              <c:showBubbleSize val="0"/>
              <c:separator>
</c:separator>
              <c:extLst>
                <c:ext xmlns:c15="http://schemas.microsoft.com/office/drawing/2012/chart" uri="{CE6537A1-D6FC-4f65-9D91-7224C49458BB}">
                  <c15:layout>
                    <c:manualLayout>
                      <c:w val="0.221489501312336"/>
                      <c:h val="0.258045977011494"/>
                    </c:manualLayout>
                  </c15:layout>
                </c:ext>
              </c:extLst>
            </c:dLbl>
            <c:numFmt formatCode="0.00%" sourceLinked="0"/>
            <c:spPr>
              <a:noFill/>
              <a:ln w="25400">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0"/>
            <c:showCatName val="1"/>
            <c:showSerName val="0"/>
            <c:showPercent val="1"/>
            <c:showBubbleSize val="0"/>
            <c:separator>
</c:separator>
            <c:showLeaderLines val="0"/>
            <c:extLst>
              <c:ext xmlns:c15="http://schemas.microsoft.com/office/drawing/2012/chart" uri="{CE6537A1-D6FC-4f65-9D91-7224C49458BB}">
                <c15:layout/>
                <c15:showLeaderLines val="0"/>
                <c15:leaderLines>
                  <c:spPr>
                    <a:ln w="12700" cap="flat" cmpd="sng" algn="ctr">
                      <a:solidFill>
                        <a:schemeClr val="tx1">
                          <a:tint val="95000"/>
                          <a:shade val="95000"/>
                          <a:satMod val="120000"/>
                        </a:schemeClr>
                      </a:solidFill>
                      <a:prstDash val="solid"/>
                      <a:round/>
                    </a:ln>
                    <a:effectLst/>
                  </c:spPr>
                </c15:leaderLines>
              </c:ext>
            </c:extLst>
          </c:dLbls>
          <c:cat>
            <c:strRef>
              <c:f>性别!$A$2:$A$3</c:f>
              <c:strCache>
                <c:ptCount val="2"/>
                <c:pt idx="0">
                  <c:v>男</c:v>
                </c:pt>
                <c:pt idx="1">
                  <c:v>女</c:v>
                </c:pt>
              </c:strCache>
            </c:strRef>
          </c:cat>
          <c:val>
            <c:numRef>
              <c:f>性别!$C$2:$C$3</c:f>
              <c:numCache>
                <c:formatCode>0.00_ </c:formatCode>
                <c:ptCount val="2"/>
                <c:pt idx="0">
                  <c:v>71.25</c:v>
                </c:pt>
                <c:pt idx="1">
                  <c:v>28.75</c:v>
                </c:pt>
              </c:numCache>
            </c:numRef>
          </c:val>
        </c:ser>
        <c:dLbls>
          <c:showLegendKey val="0"/>
          <c:showVal val="0"/>
          <c:showCatName val="0"/>
          <c:showSerName val="0"/>
          <c:showPercent val="0"/>
          <c:showBubbleSize val="0"/>
          <c:showLeaderLines val="0"/>
        </c:dLbls>
        <c:firstSliceAng val="0"/>
        <c:holeSize val="50"/>
      </c:doughnut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单位规模</c:v>
                </c:pt>
              </c:strCache>
            </c:strRef>
          </c:tx>
          <c:spPr/>
          <c:explosion val="0"/>
          <c:dPt>
            <c:idx val="0"/>
            <c:bubble3D val="0"/>
            <c:spPr>
              <a:solidFill>
                <a:schemeClr val="accent1">
                  <a:shade val="53333"/>
                </a:schemeClr>
              </a:solidFill>
              <a:ln>
                <a:noFill/>
              </a:ln>
              <a:effectLst>
                <a:outerShdw blurRad="63500" sx="102000" sy="102000" algn="ctr" rotWithShape="0">
                  <a:prstClr val="black">
                    <a:alpha val="20000"/>
                  </a:prstClr>
                </a:outerShdw>
              </a:effectLst>
            </c:spPr>
          </c:dPt>
          <c:dPt>
            <c:idx val="1"/>
            <c:bubble3D val="0"/>
            <c:spPr>
              <a:solidFill>
                <a:schemeClr val="accent1">
                  <a:shade val="76667"/>
                </a:schemeClr>
              </a:solidFill>
              <a:ln>
                <a:noFill/>
              </a:ln>
              <a:effectLst>
                <a:outerShdw blurRad="63500" sx="102000" sy="102000" algn="ctr" rotWithShape="0">
                  <a:prstClr val="black">
                    <a:alpha val="20000"/>
                  </a:prstClr>
                </a:outerShdw>
              </a:effectLst>
            </c:spPr>
          </c:dPt>
          <c:dPt>
            <c:idx val="2"/>
            <c:bubble3D val="0"/>
            <c:spPr>
              <a:solidFill>
                <a:schemeClr val="accent1"/>
              </a:solidFill>
              <a:ln>
                <a:noFill/>
              </a:ln>
              <a:effectLst>
                <a:outerShdw blurRad="63500" sx="102000" sy="102000" algn="ctr" rotWithShape="0">
                  <a:prstClr val="black">
                    <a:alpha val="20000"/>
                  </a:prstClr>
                </a:outerShdw>
              </a:effectLst>
            </c:spPr>
          </c:dPt>
          <c:dPt>
            <c:idx val="3"/>
            <c:bubble3D val="0"/>
            <c:spPr>
              <a:solidFill>
                <a:schemeClr val="accent1">
                  <a:tint val="76667"/>
                </a:schemeClr>
              </a:solidFill>
              <a:ln>
                <a:noFill/>
              </a:ln>
              <a:effectLst>
                <a:outerShdw blurRad="63500" sx="102000" sy="102000" algn="ctr" rotWithShape="0">
                  <a:prstClr val="black">
                    <a:alpha val="20000"/>
                  </a:prstClr>
                </a:outerShdw>
              </a:effectLst>
            </c:spPr>
          </c:dPt>
          <c:dPt>
            <c:idx val="4"/>
            <c:bubble3D val="0"/>
            <c:spPr>
              <a:solidFill>
                <a:schemeClr val="accent1">
                  <a:tint val="53333"/>
                </a:schemeClr>
              </a:solidFill>
              <a:ln>
                <a:noFill/>
              </a:ln>
              <a:effectLst>
                <a:outerShdw blurRad="635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defTabSz="914400">
                      <a:defRPr lang="zh-CN" sz="1000" b="0" i="0" u="none" strike="noStrike" kern="1200" spc="0" baseline="0">
                        <a:solidFill>
                          <a:sysClr val="windowText" lastClr="000000"/>
                        </a:solidFill>
                        <a:latin typeface="+mn-lt"/>
                        <a:ea typeface="+mn-ea"/>
                        <a:cs typeface="+mn-cs"/>
                      </a:defRPr>
                    </a:pPr>
                    <a:r>
                      <a:t>100人以下40.18%</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spc="0" baseline="0">
                      <a:solidFill>
                        <a:sysClr val="windowText" lastClr="000000"/>
                      </a:solidFill>
                      <a:latin typeface="+mn-lt"/>
                      <a:ea typeface="+mn-ea"/>
                      <a:cs typeface="+mn-cs"/>
                    </a:defRPr>
                  </a:pP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spc="0" baseline="0">
                        <a:solidFill>
                          <a:sysClr val="windowText" lastClr="000000"/>
                        </a:solidFill>
                        <a:latin typeface="+mn-lt"/>
                        <a:ea typeface="+mn-ea"/>
                        <a:cs typeface="+mn-cs"/>
                      </a:defRPr>
                    </a:pPr>
                    <a:r>
                      <a:t>101-300人21.94%</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spc="0" baseline="0">
                      <a:solidFill>
                        <a:sysClr val="windowText" lastClr="000000"/>
                      </a:solidFill>
                      <a:latin typeface="+mn-lt"/>
                      <a:ea typeface="+mn-ea"/>
                      <a:cs typeface="+mn-cs"/>
                    </a:defRPr>
                  </a:pP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1000" b="0" i="0" u="none" strike="noStrike" kern="1200" spc="0" baseline="0">
                        <a:solidFill>
                          <a:sysClr val="windowText" lastClr="000000"/>
                        </a:solidFill>
                        <a:latin typeface="+mn-lt"/>
                        <a:ea typeface="+mn-ea"/>
                        <a:cs typeface="+mn-cs"/>
                      </a:defRPr>
                    </a:pPr>
                    <a:r>
                      <a:t>301-2000人19.63%</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spc="0" baseline="0">
                      <a:solidFill>
                        <a:sysClr val="windowText" lastClr="000000"/>
                      </a:solidFill>
                      <a:latin typeface="+mn-lt"/>
                      <a:ea typeface="+mn-ea"/>
                      <a:cs typeface="+mn-cs"/>
                    </a:defRPr>
                  </a:pP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defTabSz="914400">
                      <a:defRPr lang="zh-CN" sz="1000" b="0" i="0" u="none" strike="noStrike" kern="1200" spc="0" baseline="0">
                        <a:solidFill>
                          <a:sysClr val="windowText" lastClr="000000"/>
                        </a:solidFill>
                        <a:latin typeface="+mn-lt"/>
                        <a:ea typeface="+mn-ea"/>
                        <a:cs typeface="+mn-cs"/>
                      </a:defRPr>
                    </a:pPr>
                    <a:r>
                      <a:t>2001-15000人9.24%</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spc="0" baseline="0">
                      <a:solidFill>
                        <a:sysClr val="windowText" lastClr="000000"/>
                      </a:solidFill>
                      <a:latin typeface="+mn-lt"/>
                      <a:ea typeface="+mn-ea"/>
                      <a:cs typeface="+mn-cs"/>
                    </a:defRPr>
                  </a:pP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defTabSz="914400">
                      <a:defRPr lang="zh-CN" sz="1000" b="0" i="0" u="none" strike="noStrike" kern="1200" spc="0" baseline="0">
                        <a:solidFill>
                          <a:sysClr val="windowText" lastClr="000000"/>
                        </a:solidFill>
                        <a:latin typeface="+mn-lt"/>
                        <a:ea typeface="+mn-ea"/>
                        <a:cs typeface="+mn-cs"/>
                      </a:defRPr>
                    </a:pPr>
                    <a:r>
                      <a:t>15001人以上9.01%</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spc="0" baseline="0">
                      <a:solidFill>
                        <a:sysClr val="windowText" lastClr="000000"/>
                      </a:solidFill>
                      <a:latin typeface="+mn-lt"/>
                      <a:ea typeface="+mn-ea"/>
                      <a:cs typeface="+mn-cs"/>
                    </a:defRPr>
                  </a:pP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spc="0" baseline="0">
                    <a:solidFill>
                      <a:sysClr val="windowText" lastClr="000000"/>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100人以下</c:v>
                </c:pt>
                <c:pt idx="1">
                  <c:v>101-300人</c:v>
                </c:pt>
                <c:pt idx="2">
                  <c:v>301-2000人</c:v>
                </c:pt>
                <c:pt idx="3">
                  <c:v>2001-15000人</c:v>
                </c:pt>
                <c:pt idx="4">
                  <c:v>15001人以上</c:v>
                </c:pt>
              </c:strCache>
            </c:strRef>
          </c:cat>
          <c:val>
            <c:numRef>
              <c:f>Sheet1!$B$2:$B$6</c:f>
              <c:numCache>
                <c:formatCode>0.00_ </c:formatCode>
                <c:ptCount val="5"/>
                <c:pt idx="0">
                  <c:v>40.18</c:v>
                </c:pt>
                <c:pt idx="1">
                  <c:v>21.94</c:v>
                </c:pt>
                <c:pt idx="2">
                  <c:v>19.63</c:v>
                </c:pt>
                <c:pt idx="3">
                  <c:v>9.24</c:v>
                </c:pt>
                <c:pt idx="4">
                  <c:v>9.01</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单位行业流向</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采矿业</c:v>
                </c:pt>
                <c:pt idx="1">
                  <c:v>卫生和社会工作</c:v>
                </c:pt>
                <c:pt idx="2">
                  <c:v>电力、热力、燃气及水生产和供应业</c:v>
                </c:pt>
                <c:pt idx="3">
                  <c:v>农、林、牧、渔业</c:v>
                </c:pt>
                <c:pt idx="4">
                  <c:v>水利、环境和公共设施管理业</c:v>
                </c:pt>
                <c:pt idx="5">
                  <c:v>住宿和餐饮业</c:v>
                </c:pt>
                <c:pt idx="6">
                  <c:v>公共管理、社会保障和社会组织</c:v>
                </c:pt>
                <c:pt idx="7">
                  <c:v>教育</c:v>
                </c:pt>
                <c:pt idx="8">
                  <c:v>文化、体育和娱乐业</c:v>
                </c:pt>
                <c:pt idx="9">
                  <c:v>房地产业</c:v>
                </c:pt>
                <c:pt idx="10">
                  <c:v>金融业</c:v>
                </c:pt>
                <c:pt idx="11">
                  <c:v>租赁和商务服务业</c:v>
                </c:pt>
                <c:pt idx="12">
                  <c:v>批发和零售业</c:v>
                </c:pt>
                <c:pt idx="13">
                  <c:v>信息传输、软件和信息技术服务业</c:v>
                </c:pt>
                <c:pt idx="14">
                  <c:v>制造业</c:v>
                </c:pt>
                <c:pt idx="15">
                  <c:v>居民服务、修理和其他服务业</c:v>
                </c:pt>
                <c:pt idx="16">
                  <c:v>交通运输、仓储和邮政业</c:v>
                </c:pt>
                <c:pt idx="17">
                  <c:v>建筑业</c:v>
                </c:pt>
              </c:strCache>
            </c:strRef>
          </c:cat>
          <c:val>
            <c:numRef>
              <c:f>Sheet1!$B$2:$B$19</c:f>
              <c:numCache>
                <c:formatCode>General</c:formatCode>
                <c:ptCount val="18"/>
                <c:pt idx="0">
                  <c:v>0.12</c:v>
                </c:pt>
                <c:pt idx="1">
                  <c:v>0.59</c:v>
                </c:pt>
                <c:pt idx="2">
                  <c:v>0.78</c:v>
                </c:pt>
                <c:pt idx="3">
                  <c:v>1.02</c:v>
                </c:pt>
                <c:pt idx="4">
                  <c:v>1.02</c:v>
                </c:pt>
                <c:pt idx="5">
                  <c:v>1.1</c:v>
                </c:pt>
                <c:pt idx="6">
                  <c:v>1.25</c:v>
                </c:pt>
                <c:pt idx="7">
                  <c:v>1.49</c:v>
                </c:pt>
                <c:pt idx="8">
                  <c:v>1.92</c:v>
                </c:pt>
                <c:pt idx="9">
                  <c:v>2.66</c:v>
                </c:pt>
                <c:pt idx="10">
                  <c:v>2.7</c:v>
                </c:pt>
                <c:pt idx="11">
                  <c:v>3.92</c:v>
                </c:pt>
                <c:pt idx="12">
                  <c:v>4.7</c:v>
                </c:pt>
                <c:pt idx="13">
                  <c:v>4.93</c:v>
                </c:pt>
                <c:pt idx="14">
                  <c:v>6.62</c:v>
                </c:pt>
                <c:pt idx="15">
                  <c:v>8.07</c:v>
                </c:pt>
                <c:pt idx="16">
                  <c:v>8.26</c:v>
                </c:pt>
                <c:pt idx="17">
                  <c:v>48.04</c:v>
                </c:pt>
              </c:numCache>
            </c:numRef>
          </c:val>
        </c:ser>
        <c:dLbls>
          <c:showLegendKey val="0"/>
          <c:showVal val="1"/>
          <c:showCatName val="0"/>
          <c:showSerName val="0"/>
          <c:showPercent val="0"/>
          <c:showBubbleSize val="0"/>
        </c:dLbls>
        <c:gapWidth val="182"/>
        <c:overlap val="0"/>
        <c:axId val="531275677"/>
        <c:axId val="879412592"/>
      </c:barChart>
      <c:catAx>
        <c:axId val="531275677"/>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879412592"/>
        <c:crosses val="autoZero"/>
        <c:auto val="1"/>
        <c:lblAlgn val="ctr"/>
        <c:lblOffset val="100"/>
        <c:noMultiLvlLbl val="0"/>
      </c:catAx>
      <c:valAx>
        <c:axId val="879412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531275677"/>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工作职位类别分布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公务员</c:v>
                </c:pt>
                <c:pt idx="1">
                  <c:v>体育工作人员</c:v>
                </c:pt>
                <c:pt idx="2">
                  <c:v>农林牧渔业技术人员</c:v>
                </c:pt>
                <c:pt idx="3">
                  <c:v>生产和运输设备操作人员</c:v>
                </c:pt>
                <c:pt idx="4">
                  <c:v>文学艺术工作人员</c:v>
                </c:pt>
                <c:pt idx="5">
                  <c:v>金融业务人员</c:v>
                </c:pt>
                <c:pt idx="6">
                  <c:v>教学人员</c:v>
                </c:pt>
                <c:pt idx="7">
                  <c:v>商业和服务业人员</c:v>
                </c:pt>
                <c:pt idx="8">
                  <c:v>其他专业技术人员</c:v>
                </c:pt>
                <c:pt idx="9">
                  <c:v>办事人员和有关人员</c:v>
                </c:pt>
                <c:pt idx="10">
                  <c:v>其他人员</c:v>
                </c:pt>
                <c:pt idx="11">
                  <c:v>工程技术人员</c:v>
                </c:pt>
              </c:strCache>
            </c:strRef>
          </c:cat>
          <c:val>
            <c:numRef>
              <c:f>Sheet1!$B$2:$B$13</c:f>
              <c:numCache>
                <c:formatCode>General</c:formatCode>
                <c:ptCount val="12"/>
                <c:pt idx="0">
                  <c:v>0.04</c:v>
                </c:pt>
                <c:pt idx="1">
                  <c:v>0.04</c:v>
                </c:pt>
                <c:pt idx="2">
                  <c:v>0.08</c:v>
                </c:pt>
                <c:pt idx="3">
                  <c:v>0.16</c:v>
                </c:pt>
                <c:pt idx="4">
                  <c:v>0.31</c:v>
                </c:pt>
                <c:pt idx="5">
                  <c:v>0.47</c:v>
                </c:pt>
                <c:pt idx="6">
                  <c:v>0.47</c:v>
                </c:pt>
                <c:pt idx="7">
                  <c:v>0.82</c:v>
                </c:pt>
                <c:pt idx="8">
                  <c:v>9.4</c:v>
                </c:pt>
                <c:pt idx="9">
                  <c:v>23.34</c:v>
                </c:pt>
                <c:pt idx="10">
                  <c:v>25.49</c:v>
                </c:pt>
                <c:pt idx="11">
                  <c:v>38.6</c:v>
                </c:pt>
              </c:numCache>
            </c:numRef>
          </c:val>
        </c:ser>
        <c:dLbls>
          <c:showLegendKey val="0"/>
          <c:showVal val="1"/>
          <c:showCatName val="0"/>
          <c:showSerName val="0"/>
          <c:showPercent val="0"/>
          <c:showBubbleSize val="0"/>
        </c:dLbls>
        <c:gapWidth val="182"/>
        <c:overlap val="0"/>
        <c:axId val="417158834"/>
        <c:axId val="623887694"/>
      </c:barChart>
      <c:catAx>
        <c:axId val="417158834"/>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23887694"/>
        <c:crosses val="autoZero"/>
        <c:auto val="1"/>
        <c:lblAlgn val="ctr"/>
        <c:lblOffset val="100"/>
        <c:noMultiLvlLbl val="0"/>
      </c:catAx>
      <c:valAx>
        <c:axId val="62388769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41715883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c:explosion val="0"/>
          <c:dPt>
            <c:idx val="0"/>
            <c:bubble3D val="0"/>
            <c:spPr>
              <a:solidFill>
                <a:schemeClr val="accent1">
                  <a:shade val="65000"/>
                </a:schemeClr>
              </a:solidFill>
              <a:ln w="19050">
                <a:solidFill>
                  <a:schemeClr val="lt1"/>
                </a:solidFill>
              </a:ln>
              <a:effectLst/>
            </c:spPr>
          </c:dPt>
          <c:dPt>
            <c:idx val="1"/>
            <c:bubble3D val="0"/>
            <c:spPr>
              <a:solidFill>
                <a:schemeClr val="accent1"/>
              </a:solidFill>
              <a:ln w="19050">
                <a:solidFill>
                  <a:schemeClr val="lt1"/>
                </a:solidFill>
              </a:ln>
              <a:effectLst/>
            </c:spPr>
          </c:dPt>
          <c:dPt>
            <c:idx val="2"/>
            <c:bubble3D val="0"/>
            <c:spPr>
              <a:solidFill>
                <a:schemeClr val="accent1">
                  <a:tint val="65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[tempBb.xls]Sheet1!$B$1:$D$1</c:f>
              <c:strCache>
                <c:ptCount val="3"/>
                <c:pt idx="0">
                  <c:v>一致</c:v>
                </c:pt>
                <c:pt idx="1">
                  <c:v>相近/相关</c:v>
                </c:pt>
                <c:pt idx="2">
                  <c:v>无关</c:v>
                </c:pt>
              </c:strCache>
            </c:strRef>
          </c:cat>
          <c:val>
            <c:numRef>
              <c:f>[tempBb.xls]Sheet1!$B$2:$D$2</c:f>
              <c:numCache>
                <c:formatCode>0.00%</c:formatCode>
                <c:ptCount val="3"/>
                <c:pt idx="0">
                  <c:v>0.05</c:v>
                </c:pt>
                <c:pt idx="1">
                  <c:v>0.8</c:v>
                </c:pt>
                <c:pt idx="2">
                  <c:v>0.15</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延缓面对择业的困难</c:v>
                </c:pt>
                <c:pt idx="1">
                  <c:v>对专业感兴趣、深入学习</c:v>
                </c:pt>
                <c:pt idx="2">
                  <c:v>提升综合能力</c:v>
                </c:pt>
                <c:pt idx="3">
                  <c:v>增加择业资本、站在跟高的求职点</c:v>
                </c:pt>
              </c:strCache>
            </c:strRef>
          </c:cat>
          <c:val>
            <c:numRef>
              <c:f>Sheet1!$B$2:$B$5</c:f>
              <c:numCache>
                <c:formatCode>General</c:formatCode>
                <c:ptCount val="4"/>
                <c:pt idx="0">
                  <c:v>8.11</c:v>
                </c:pt>
                <c:pt idx="1">
                  <c:v>10.81</c:v>
                </c:pt>
                <c:pt idx="2">
                  <c:v>32.43</c:v>
                </c:pt>
                <c:pt idx="3">
                  <c:v>48.65</c:v>
                </c:pt>
              </c:numCache>
            </c:numRef>
          </c:val>
        </c:ser>
        <c:dLbls>
          <c:showLegendKey val="0"/>
          <c:showVal val="1"/>
          <c:showCatName val="0"/>
          <c:showSerName val="0"/>
          <c:showPercent val="0"/>
          <c:showBubbleSize val="0"/>
        </c:dLbls>
        <c:gapWidth val="182"/>
        <c:overlap val="0"/>
        <c:axId val="902440140"/>
        <c:axId val="871831039"/>
      </c:barChart>
      <c:catAx>
        <c:axId val="90244014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871831039"/>
        <c:crosses val="autoZero"/>
        <c:auto val="1"/>
        <c:lblAlgn val="ctr"/>
        <c:lblOffset val="100"/>
        <c:noMultiLvlLbl val="0"/>
      </c:catAx>
      <c:valAx>
        <c:axId val="8718310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024401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升学满意度</c:v>
                </c:pt>
              </c:strCache>
            </c:strRef>
          </c:tx>
          <c:spPr/>
          <c:explosion val="0"/>
          <c:dPt>
            <c:idx val="0"/>
            <c:bubble3D val="0"/>
            <c:spPr>
              <a:solidFill>
                <a:schemeClr val="accent1">
                  <a:shade val="53333"/>
                </a:schemeClr>
              </a:solidFill>
              <a:ln w="19050">
                <a:solidFill>
                  <a:schemeClr val="lt1"/>
                </a:solidFill>
              </a:ln>
              <a:effectLst/>
            </c:spPr>
          </c:dPt>
          <c:dPt>
            <c:idx val="1"/>
            <c:bubble3D val="0"/>
            <c:spPr>
              <a:solidFill>
                <a:schemeClr val="accent1">
                  <a:shade val="76667"/>
                </a:schemeClr>
              </a:solidFill>
              <a:ln w="19050">
                <a:solidFill>
                  <a:schemeClr val="lt1"/>
                </a:solidFill>
              </a:ln>
              <a:effectLst/>
            </c:spPr>
          </c:dPt>
          <c:dPt>
            <c:idx val="2"/>
            <c:bubble3D val="0"/>
            <c:spPr>
              <a:solidFill>
                <a:schemeClr val="accent1"/>
              </a:solidFill>
              <a:ln w="19050">
                <a:solidFill>
                  <a:schemeClr val="lt1"/>
                </a:solidFill>
              </a:ln>
              <a:effectLst/>
            </c:spPr>
          </c:dPt>
          <c:dPt>
            <c:idx val="3"/>
            <c:bubble3D val="0"/>
            <c:spPr>
              <a:solidFill>
                <a:schemeClr val="accent1">
                  <a:tint val="76667"/>
                </a:schemeClr>
              </a:solidFill>
              <a:ln w="19050">
                <a:solidFill>
                  <a:schemeClr val="lt1"/>
                </a:solidFill>
              </a:ln>
              <a:effectLst/>
            </c:spPr>
          </c:dPt>
          <c:dPt>
            <c:idx val="4"/>
            <c:bubble3D val="0"/>
            <c:spPr>
              <a:solidFill>
                <a:schemeClr val="accent1">
                  <a:tint val="53333"/>
                </a:schemeClr>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ysClr val="windowText" lastClr="000000"/>
                        </a:solidFill>
                        <a:latin typeface="+mn-lt"/>
                        <a:ea typeface="+mn-ea"/>
                        <a:cs typeface="+mn-cs"/>
                      </a:defRPr>
                    </a:pPr>
                    <a:r>
                      <a:rPr>
                        <a:solidFill>
                          <a:sysClr val="windowText" lastClr="000000"/>
                        </a:solidFill>
                      </a:rPr>
                      <a:t>非常满意1</a:t>
                    </a:r>
                    <a:r>
                      <a:rPr lang="en-US" altLang="zh-CN">
                        <a:solidFill>
                          <a:sysClr val="windowText" lastClr="000000"/>
                        </a:solidFill>
                      </a:rPr>
                      <a:t>3.50</a:t>
                    </a:r>
                    <a:r>
                      <a:rPr>
                        <a:solidFill>
                          <a:sysClr val="windowText" lastClr="000000"/>
                        </a:solidFill>
                      </a:rPr>
                      <a:t>%</a:t>
                    </a:r>
                    <a:endParaRPr>
                      <a:solidFill>
                        <a:sysClr val="windowText" lastClr="000000"/>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ysClr val="windowText" lastClr="000000"/>
                        </a:solidFill>
                        <a:latin typeface="+mn-lt"/>
                        <a:ea typeface="+mn-ea"/>
                        <a:cs typeface="+mn-cs"/>
                      </a:defRPr>
                    </a:pPr>
                    <a:r>
                      <a:rPr>
                        <a:solidFill>
                          <a:sysClr val="windowText" lastClr="000000"/>
                        </a:solidFill>
                      </a:rPr>
                      <a:t>一般27</a:t>
                    </a:r>
                    <a:r>
                      <a:rPr lang="en-US" altLang="zh-CN">
                        <a:solidFill>
                          <a:sysClr val="windowText" lastClr="000000"/>
                        </a:solidFill>
                      </a:rPr>
                      <a:t>.00</a:t>
                    </a:r>
                    <a:r>
                      <a:rPr>
                        <a:solidFill>
                          <a:sysClr val="windowText" lastClr="000000"/>
                        </a:solidFill>
                      </a:rPr>
                      <a:t>%</a:t>
                    </a:r>
                    <a:endParaRPr>
                      <a:solidFill>
                        <a:sysClr val="windowText" lastClr="000000"/>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0411223996129656"/>
                  <c:y val="0.00998802700015021"/>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ysClr val="windowText" lastClr="000000"/>
                        </a:solidFill>
                        <a:latin typeface="+mn-lt"/>
                        <a:ea typeface="+mn-ea"/>
                        <a:cs typeface="+mn-cs"/>
                      </a:defRPr>
                    </a:pPr>
                    <a:r>
                      <a:rPr>
                        <a:solidFill>
                          <a:sysClr val="windowText" lastClr="000000"/>
                        </a:solidFill>
                      </a:rPr>
                      <a:t>比较满意51</a:t>
                    </a:r>
                    <a:r>
                      <a:rPr lang="en-US" altLang="zh-CN">
                        <a:solidFill>
                          <a:sysClr val="windowText" lastClr="000000"/>
                        </a:solidFill>
                      </a:rPr>
                      <a:t>.30</a:t>
                    </a:r>
                    <a:r>
                      <a:rPr>
                        <a:solidFill>
                          <a:sysClr val="windowText" lastClr="000000"/>
                        </a:solidFill>
                      </a:rPr>
                      <a:t>%</a:t>
                    </a:r>
                    <a:endParaRPr>
                      <a:solidFill>
                        <a:sysClr val="windowText" lastClr="000000"/>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01596516690856"/>
                  <c:y val="0.0302526897950943"/>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ysClr val="windowText" lastClr="000000"/>
                        </a:solidFill>
                        <a:latin typeface="+mn-lt"/>
                        <a:ea typeface="+mn-ea"/>
                        <a:cs typeface="+mn-cs"/>
                      </a:defRPr>
                    </a:pPr>
                    <a:r>
                      <a:rPr>
                        <a:solidFill>
                          <a:sysClr val="windowText" lastClr="000000"/>
                        </a:solidFill>
                      </a:rPr>
                      <a:t>较不满意5</a:t>
                    </a:r>
                    <a:r>
                      <a:rPr lang="en-US" altLang="zh-CN">
                        <a:solidFill>
                          <a:sysClr val="windowText" lastClr="000000"/>
                        </a:solidFill>
                      </a:rPr>
                      <a:t>.41</a:t>
                    </a:r>
                    <a:r>
                      <a:rPr>
                        <a:solidFill>
                          <a:sysClr val="windowText" lastClr="000000"/>
                        </a:solidFill>
                      </a:rPr>
                      <a:t>%</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tx>
                <c:rich>
                  <a:bodyPr rot="0" spcFirstLastPara="0" vertOverflow="ellipsis" vert="horz" wrap="square" lIns="38100" tIns="19050" rIns="38100" bIns="19050" anchor="ctr" anchorCtr="1"/>
                  <a:lstStyle/>
                  <a:p>
                    <a:pPr defTabSz="914400">
                      <a:defRPr lang="zh-CN" sz="900" b="0" i="0" u="none" strike="noStrike" kern="1200" baseline="0">
                        <a:solidFill>
                          <a:sysClr val="windowText" lastClr="000000"/>
                        </a:solidFill>
                        <a:latin typeface="+mn-lt"/>
                        <a:ea typeface="+mn-ea"/>
                        <a:cs typeface="+mn-cs"/>
                      </a:defRPr>
                    </a:pPr>
                    <a:r>
                      <a:rPr>
                        <a:solidFill>
                          <a:sysClr val="windowText" lastClr="000000"/>
                        </a:solidFill>
                      </a:rPr>
                      <a:t>非常不满意</a:t>
                    </a:r>
                    <a:endParaRPr>
                      <a:solidFill>
                        <a:sysClr val="windowText" lastClr="000000"/>
                      </a:solidFill>
                    </a:endParaRPr>
                  </a:p>
                  <a:p>
                    <a:pPr defTabSz="914400">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2.70</a:t>
                    </a:r>
                    <a:r>
                      <a:rPr>
                        <a:solidFill>
                          <a:sysClr val="windowText" lastClr="000000"/>
                        </a:solidFill>
                      </a:rPr>
                      <a:t>%</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一般</c:v>
                </c:pt>
                <c:pt idx="2">
                  <c:v>比较满意</c:v>
                </c:pt>
                <c:pt idx="3">
                  <c:v>较不满意</c:v>
                </c:pt>
                <c:pt idx="4">
                  <c:v>非常不满意</c:v>
                </c:pt>
              </c:strCache>
            </c:strRef>
          </c:cat>
          <c:val>
            <c:numRef>
              <c:f>Sheet1!$B$2:$B$6</c:f>
              <c:numCache>
                <c:formatCode>General</c:formatCode>
                <c:ptCount val="5"/>
                <c:pt idx="0">
                  <c:v>13.51</c:v>
                </c:pt>
                <c:pt idx="1">
                  <c:v>27.03</c:v>
                </c:pt>
                <c:pt idx="2">
                  <c:v>51.35</c:v>
                </c:pt>
                <c:pt idx="3">
                  <c:v>5.41</c:v>
                </c:pt>
                <c:pt idx="4">
                  <c:v>2.7</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382352941176"/>
          <c:y val="0.0871785278668179"/>
          <c:w val="0.739158097041149"/>
          <c:h val="0.815320293443885"/>
        </c:manualLayout>
      </c:layout>
      <c:barChart>
        <c:barDir val="bar"/>
        <c:grouping val="clustered"/>
        <c:varyColors val="0"/>
        <c:ser>
          <c:idx val="0"/>
          <c:order val="0"/>
          <c:spPr>
            <a:solidFill>
              <a:srgbClr val="4F81BD"/>
            </a:solidFill>
            <a:ln w="25400">
              <a:noFill/>
            </a:ln>
          </c:spPr>
          <c:invertIfNegative val="0"/>
          <c:dLbls>
            <c:spPr>
              <a:noFill/>
              <a:ln w="25400">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Workbook13.xlsx!jykccyd之选项名称</c:f>
              <c:strCache>
                <c:ptCount val="7"/>
                <c:pt idx="0">
                  <c:v>就业帮扶与推介</c:v>
                </c:pt>
                <c:pt idx="1">
                  <c:v>校园招聘会</c:v>
                </c:pt>
                <c:pt idx="2">
                  <c:v>职业咨询与辅导</c:v>
                </c:pt>
                <c:pt idx="3">
                  <c:v>招聘信息发布</c:v>
                </c:pt>
                <c:pt idx="4">
                  <c:v>就业指导课</c:v>
                </c:pt>
                <c:pt idx="5">
                  <c:v>就业手续办理</c:v>
                </c:pt>
                <c:pt idx="6">
                  <c:v>就业实习/实践</c:v>
                </c:pt>
              </c:strCache>
            </c:strRef>
          </c:cat>
          <c:val>
            <c:numRef>
              <c:f>Workbook13.xlsx!jykccyd之比例</c:f>
              <c:numCache>
                <c:formatCode>0.00_ </c:formatCode>
                <c:ptCount val="7"/>
                <c:pt idx="0">
                  <c:v>95.04</c:v>
                </c:pt>
                <c:pt idx="1">
                  <c:v>96.1</c:v>
                </c:pt>
                <c:pt idx="2">
                  <c:v>96.63</c:v>
                </c:pt>
                <c:pt idx="3">
                  <c:v>96.63</c:v>
                </c:pt>
                <c:pt idx="4">
                  <c:v>97.52</c:v>
                </c:pt>
                <c:pt idx="5">
                  <c:v>97.16</c:v>
                </c:pt>
                <c:pt idx="6">
                  <c:v>97.87</c:v>
                </c:pt>
              </c:numCache>
            </c:numRef>
          </c:val>
        </c:ser>
        <c:dLbls>
          <c:showLegendKey val="0"/>
          <c:showVal val="0"/>
          <c:showCatName val="0"/>
          <c:showSerName val="0"/>
          <c:showPercent val="0"/>
          <c:showBubbleSize val="0"/>
        </c:dLbls>
        <c:gapWidth val="182"/>
        <c:axId val="369554176"/>
        <c:axId val="369554736"/>
      </c:barChart>
      <c:catAx>
        <c:axId val="369554176"/>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369554736"/>
        <c:crosses val="autoZero"/>
        <c:auto val="1"/>
        <c:lblAlgn val="ctr"/>
        <c:lblOffset val="100"/>
        <c:noMultiLvlLbl val="0"/>
      </c:catAx>
      <c:valAx>
        <c:axId val="369554736"/>
        <c:scaling>
          <c:orientation val="minMax"/>
          <c:max val="100"/>
          <c:min val="0"/>
        </c:scaling>
        <c:delete val="0"/>
        <c:axPos val="b"/>
        <c:numFmt formatCode="0.00_ " sourceLinked="1"/>
        <c:majorTickMark val="in"/>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369554176"/>
        <c:crosses val="autoZero"/>
        <c:crossBetween val="between"/>
        <c:majorUnit val="20"/>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a:solidFill>
            <a:sysClr val="windowText" lastClr="000000"/>
          </a:solidFill>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855772126845"/>
          <c:y val="0.0518256772673734"/>
          <c:w val="0.677552814903901"/>
          <c:h val="0.82003171865001"/>
        </c:manualLayout>
      </c:layout>
      <c:barChart>
        <c:barDir val="bar"/>
        <c:grouping val="clustered"/>
        <c:varyColors val="0"/>
        <c:ser>
          <c:idx val="0"/>
          <c:order val="0"/>
          <c:spPr>
            <a:solidFill>
              <a:schemeClr val="accent1"/>
            </a:solidFill>
            <a:ln>
              <a:noFill/>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12700" cap="flat" cmpd="sng" algn="ctr">
                      <a:solidFill>
                        <a:schemeClr val="tx1">
                          <a:tint val="95000"/>
                          <a:shade val="95000"/>
                          <a:satMod val="120000"/>
                        </a:schemeClr>
                      </a:solidFill>
                      <a:prstDash val="solid"/>
                      <a:round/>
                    </a:ln>
                    <a:effectLst/>
                  </c:spPr>
                </c15:leaderLines>
              </c:ext>
            </c:extLst>
          </c:dLbls>
          <c:cat>
            <c:strRef>
              <c:f>就业课程满意度!$F$2:$F$8</c:f>
              <c:strCache>
                <c:ptCount val="7"/>
                <c:pt idx="0">
                  <c:v>就业手续办理</c:v>
                </c:pt>
                <c:pt idx="1">
                  <c:v>就业帮扶与推介</c:v>
                </c:pt>
                <c:pt idx="2">
                  <c:v>校园招聘会</c:v>
                </c:pt>
                <c:pt idx="3">
                  <c:v>职业咨询与辅导</c:v>
                </c:pt>
                <c:pt idx="4">
                  <c:v>招聘信息发布</c:v>
                </c:pt>
                <c:pt idx="5">
                  <c:v>就业实习/实践</c:v>
                </c:pt>
                <c:pt idx="6">
                  <c:v>就业指导课</c:v>
                </c:pt>
              </c:strCache>
            </c:strRef>
          </c:cat>
          <c:val>
            <c:numRef>
              <c:f>就业课程满意度!$G$2:$G$8</c:f>
              <c:numCache>
                <c:formatCode>0.00_ </c:formatCode>
                <c:ptCount val="7"/>
                <c:pt idx="0">
                  <c:v>84.76</c:v>
                </c:pt>
                <c:pt idx="1">
                  <c:v>81.74</c:v>
                </c:pt>
                <c:pt idx="2">
                  <c:v>79.25</c:v>
                </c:pt>
                <c:pt idx="3">
                  <c:v>85.64</c:v>
                </c:pt>
                <c:pt idx="4">
                  <c:v>84.57</c:v>
                </c:pt>
                <c:pt idx="5">
                  <c:v>86.53</c:v>
                </c:pt>
                <c:pt idx="6">
                  <c:v>87.23</c:v>
                </c:pt>
              </c:numCache>
            </c:numRef>
          </c:val>
        </c:ser>
        <c:dLbls>
          <c:showLegendKey val="0"/>
          <c:showVal val="0"/>
          <c:showCatName val="0"/>
          <c:showSerName val="0"/>
          <c:showPercent val="0"/>
          <c:showBubbleSize val="0"/>
        </c:dLbls>
        <c:gapWidth val="182"/>
        <c:axId val="750654472"/>
        <c:axId val="750654864"/>
      </c:barChart>
      <c:catAx>
        <c:axId val="750654472"/>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750654864"/>
        <c:crosses val="autoZero"/>
        <c:auto val="1"/>
        <c:lblAlgn val="ctr"/>
        <c:lblOffset val="100"/>
        <c:noMultiLvlLbl val="0"/>
      </c:catAx>
      <c:valAx>
        <c:axId val="750654864"/>
        <c:scaling>
          <c:orientation val="minMax"/>
          <c:max val="100"/>
          <c:min val="0"/>
        </c:scaling>
        <c:delete val="0"/>
        <c:axPos val="b"/>
        <c:numFmt formatCode="0.00_ " sourceLinked="1"/>
        <c:majorTickMark val="in"/>
        <c:minorTickMark val="none"/>
        <c:tickLblPos val="nextTo"/>
        <c:spPr>
          <a:noFill/>
          <a:ln w="12700" cap="flat" cmpd="sng" algn="ctr">
            <a:solidFill>
              <a:schemeClr val="bg1">
                <a:lumMod val="50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50654472"/>
        <c:crosses val="autoZero"/>
        <c:crossBetween val="between"/>
        <c:majorUnit val="20"/>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solidFill>
            <a:sysClr val="windowText" lastClr="000000"/>
          </a:solidFill>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11626241851144"/>
          <c:y val="0.0518256772673734"/>
          <c:w val="0.493391705138142"/>
          <c:h val="0.81060886823776"/>
        </c:manualLayout>
      </c:layout>
      <c:barChart>
        <c:barDir val="bar"/>
        <c:grouping val="clustered"/>
        <c:varyColors val="0"/>
        <c:ser>
          <c:idx val="0"/>
          <c:order val="0"/>
          <c:spPr>
            <a:solidFill>
              <a:schemeClr val="accent1"/>
            </a:solidFill>
            <a:ln>
              <a:noFill/>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12700" cap="flat" cmpd="sng" algn="ctr">
                      <a:solidFill>
                        <a:schemeClr val="tx1">
                          <a:tint val="95000"/>
                          <a:shade val="95000"/>
                          <a:satMod val="120000"/>
                        </a:schemeClr>
                      </a:solidFill>
                      <a:prstDash val="solid"/>
                      <a:round/>
                    </a:ln>
                    <a:effectLst/>
                  </c:spPr>
                </c15:leaderLines>
              </c:ext>
            </c:extLst>
          </c:dLbls>
          <c:cat>
            <c:strRef>
              <c:f>创业课程参与度!$F$2:$F$6</c:f>
              <c:strCache>
                <c:ptCount val="5"/>
                <c:pt idx="0">
                  <c:v>创业协会</c:v>
                </c:pt>
                <c:pt idx="1">
                  <c:v>创业实训与模拟</c:v>
                </c:pt>
                <c:pt idx="2">
                  <c:v>创业项目孵化</c:v>
                </c:pt>
                <c:pt idx="3">
                  <c:v>创新创业大赛</c:v>
                </c:pt>
                <c:pt idx="4">
                  <c:v>创业相关课程（其中包括讲座）</c:v>
                </c:pt>
              </c:strCache>
            </c:strRef>
          </c:cat>
          <c:val>
            <c:numRef>
              <c:f>创业课程参与度!$G$2:$G$6</c:f>
              <c:numCache>
                <c:formatCode>0.00_ </c:formatCode>
                <c:ptCount val="5"/>
                <c:pt idx="0">
                  <c:v>80</c:v>
                </c:pt>
                <c:pt idx="1">
                  <c:v>80</c:v>
                </c:pt>
                <c:pt idx="2">
                  <c:v>90</c:v>
                </c:pt>
                <c:pt idx="3">
                  <c:v>90</c:v>
                </c:pt>
                <c:pt idx="4">
                  <c:v>90</c:v>
                </c:pt>
              </c:numCache>
            </c:numRef>
          </c:val>
        </c:ser>
        <c:dLbls>
          <c:showLegendKey val="0"/>
          <c:showVal val="0"/>
          <c:showCatName val="0"/>
          <c:showSerName val="0"/>
          <c:showPercent val="0"/>
          <c:showBubbleSize val="0"/>
        </c:dLbls>
        <c:gapWidth val="100"/>
        <c:axId val="752121104"/>
        <c:axId val="752121496"/>
      </c:barChart>
      <c:catAx>
        <c:axId val="752121104"/>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752121496"/>
        <c:crosses val="autoZero"/>
        <c:auto val="1"/>
        <c:lblAlgn val="ctr"/>
        <c:lblOffset val="100"/>
        <c:noMultiLvlLbl val="0"/>
      </c:catAx>
      <c:valAx>
        <c:axId val="752121496"/>
        <c:scaling>
          <c:orientation val="minMax"/>
          <c:max val="100"/>
          <c:min val="0"/>
        </c:scaling>
        <c:delete val="0"/>
        <c:axPos val="b"/>
        <c:numFmt formatCode="0.00_ " sourceLinked="1"/>
        <c:majorTickMark val="in"/>
        <c:minorTickMark val="none"/>
        <c:tickLblPos val="nextTo"/>
        <c:spPr>
          <a:noFill/>
          <a:ln w="12700" cap="flat" cmpd="sng" algn="ctr">
            <a:solidFill>
              <a:schemeClr val="bg1">
                <a:lumMod val="50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52121104"/>
        <c:crosses val="autoZero"/>
        <c:crossBetween val="between"/>
        <c:majorUnit val="20"/>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solidFill>
            <a:sysClr val="windowText" lastClr="000000"/>
          </a:solidFill>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7763633919871"/>
          <c:y val="0.0518256772673734"/>
          <c:w val="0.553019492762551"/>
          <c:h val="0.81060886823776"/>
        </c:manualLayout>
      </c:layout>
      <c:barChart>
        <c:barDir val="bar"/>
        <c:grouping val="clustered"/>
        <c:varyColors val="0"/>
        <c:ser>
          <c:idx val="0"/>
          <c:order val="0"/>
          <c:spPr>
            <a:solidFill>
              <a:schemeClr val="accent1"/>
            </a:solidFill>
            <a:ln>
              <a:noFill/>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12700" cap="flat" cmpd="sng" algn="ctr">
                      <a:solidFill>
                        <a:schemeClr val="tx1">
                          <a:tint val="95000"/>
                          <a:shade val="95000"/>
                          <a:satMod val="120000"/>
                        </a:schemeClr>
                      </a:solidFill>
                      <a:prstDash val="solid"/>
                      <a:round/>
                    </a:ln>
                    <a:effectLst/>
                  </c:spPr>
                </c15:leaderLines>
              </c:ext>
            </c:extLst>
          </c:dLbls>
          <c:cat>
            <c:strRef>
              <c:f>创业课程满意度!$F$2:$F$6</c:f>
              <c:strCache>
                <c:ptCount val="5"/>
                <c:pt idx="0">
                  <c:v>创业实训与模拟</c:v>
                </c:pt>
                <c:pt idx="1">
                  <c:v>创业协会</c:v>
                </c:pt>
                <c:pt idx="2">
                  <c:v>创业项目孵化</c:v>
                </c:pt>
                <c:pt idx="3">
                  <c:v>创新创业大赛</c:v>
                </c:pt>
                <c:pt idx="4">
                  <c:v>创业相关课程（其中包括讲座）</c:v>
                </c:pt>
              </c:strCache>
            </c:strRef>
          </c:cat>
          <c:val>
            <c:numRef>
              <c:f>创业课程满意度!$G$2:$G$6</c:f>
              <c:numCache>
                <c:formatCode>0.00_ </c:formatCode>
                <c:ptCount val="5"/>
                <c:pt idx="0">
                  <c:v>65</c:v>
                </c:pt>
                <c:pt idx="1">
                  <c:v>70</c:v>
                </c:pt>
                <c:pt idx="2">
                  <c:v>75</c:v>
                </c:pt>
                <c:pt idx="3">
                  <c:v>80</c:v>
                </c:pt>
                <c:pt idx="4">
                  <c:v>90</c:v>
                </c:pt>
              </c:numCache>
            </c:numRef>
          </c:val>
        </c:ser>
        <c:dLbls>
          <c:showLegendKey val="0"/>
          <c:showVal val="0"/>
          <c:showCatName val="0"/>
          <c:showSerName val="0"/>
          <c:showPercent val="0"/>
          <c:showBubbleSize val="0"/>
        </c:dLbls>
        <c:gapWidth val="100"/>
        <c:axId val="752122280"/>
        <c:axId val="749103880"/>
      </c:barChart>
      <c:catAx>
        <c:axId val="752122280"/>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749103880"/>
        <c:crosses val="autoZero"/>
        <c:auto val="1"/>
        <c:lblAlgn val="ctr"/>
        <c:lblOffset val="100"/>
        <c:noMultiLvlLbl val="0"/>
      </c:catAx>
      <c:valAx>
        <c:axId val="749103880"/>
        <c:scaling>
          <c:orientation val="minMax"/>
          <c:max val="100"/>
          <c:min val="0"/>
        </c:scaling>
        <c:delete val="0"/>
        <c:axPos val="b"/>
        <c:numFmt formatCode="0.00_ " sourceLinked="1"/>
        <c:majorTickMark val="in"/>
        <c:minorTickMark val="none"/>
        <c:tickLblPos val="nextTo"/>
        <c:spPr>
          <a:noFill/>
          <a:ln w="12700" cap="flat" cmpd="sng" algn="ctr">
            <a:solidFill>
              <a:schemeClr val="bg1">
                <a:lumMod val="50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52122280"/>
        <c:crosses val="autoZero"/>
        <c:crossBetween val="between"/>
        <c:majorUnit val="20"/>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solidFill>
            <a:sysClr val="windowText" lastClr="000000"/>
          </a:solidFill>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93064843778089"/>
          <c:y val="0.151558273727235"/>
          <c:w val="0.642409125229209"/>
          <c:h val="0.71596742201118"/>
        </c:manualLayout>
      </c:layout>
      <c:doughnutChart>
        <c:varyColors val="1"/>
        <c:ser>
          <c:idx val="0"/>
          <c:order val="0"/>
          <c:spPr/>
          <c:explosion val="0"/>
          <c:dPt>
            <c:idx val="0"/>
            <c:bubble3D val="0"/>
            <c:spPr>
              <a:solidFill>
                <a:schemeClr val="accent1">
                  <a:shade val="76000"/>
                </a:schemeClr>
              </a:solidFill>
              <a:ln>
                <a:noFill/>
              </a:ln>
              <a:effectLst/>
            </c:spPr>
          </c:dPt>
          <c:dPt>
            <c:idx val="1"/>
            <c:bubble3D val="0"/>
            <c:spPr>
              <a:solidFill>
                <a:schemeClr val="accent1">
                  <a:tint val="77000"/>
                </a:schemeClr>
              </a:solidFill>
              <a:ln>
                <a:noFill/>
              </a:ln>
              <a:effectLst/>
            </c:spPr>
          </c:dPt>
          <c:dLbls>
            <c:dLbl>
              <c:idx val="0"/>
              <c:layout>
                <c:manualLayout>
                  <c:x val="0.0410401610757558"/>
                  <c:y val="0.29215603774719"/>
                </c:manualLayout>
              </c:layout>
              <c:numFmt formatCode="0.00%" sourceLinked="0"/>
              <c:spPr>
                <a:noFill/>
                <a:ln w="25400">
                  <a:noFill/>
                </a:ln>
                <a:effectLst/>
              </c:spPr>
              <c:txPr>
                <a:bodyPr rot="0" spcFirstLastPara="1" vertOverflow="ellipsis" vert="horz" wrap="none" lIns="38100" tIns="19050" rIns="38100" bIns="19050" anchor="ctr" anchorCtr="1">
                  <a:noAutofit/>
                </a:bodyPr>
                <a:lstStyle/>
                <a:p>
                  <a:pPr>
                    <a:defRPr lang="zh-CN" sz="1000" b="0" i="0" u="none" strike="noStrike" kern="1200" baseline="0">
                      <a:solidFill>
                        <a:schemeClr val="dk1"/>
                      </a:solidFill>
                      <a:latin typeface="+mn-lt"/>
                      <a:ea typeface="+mn-ea"/>
                      <a:cs typeface="+mn-cs"/>
                    </a:defRPr>
                  </a:pPr>
                </a:p>
              </c:txPr>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24549221587028"/>
                  <c:y val="-0.268649195568111"/>
                </c:manualLayout>
              </c:layout>
              <c:numFmt formatCode="0.00%" sourceLinked="0"/>
              <c:spPr>
                <a:noFill/>
                <a:ln w="25400">
                  <a:noFill/>
                </a:ln>
                <a:effectLst/>
              </c:spPr>
              <c:txPr>
                <a:bodyPr rot="0" spcFirstLastPara="1" vertOverflow="ellipsis" vert="horz" wrap="none" lIns="38100" tIns="19050" rIns="38100" bIns="19050" anchor="ctr" anchorCtr="1">
                  <a:noAutofit/>
                </a:bodyPr>
                <a:lstStyle/>
                <a:p>
                  <a:pPr>
                    <a:defRPr lang="zh-CN" sz="1000" b="0" i="0" u="none" strike="noStrike" kern="1200" baseline="0">
                      <a:solidFill>
                        <a:schemeClr val="dk1"/>
                      </a:solidFill>
                      <a:latin typeface="+mn-lt"/>
                      <a:ea typeface="+mn-ea"/>
                      <a:cs typeface="+mn-cs"/>
                    </a:defRPr>
                  </a:pPr>
                </a:p>
              </c:txPr>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w="25400">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0"/>
            <c:showCatName val="1"/>
            <c:showSerName val="0"/>
            <c:showPercent val="1"/>
            <c:showBubbleSize val="0"/>
            <c:separator>
</c:separator>
            <c:showLeaderLines val="0"/>
            <c:extLst>
              <c:ext xmlns:c15="http://schemas.microsoft.com/office/drawing/2012/chart" uri="{CE6537A1-D6FC-4f65-9D91-7224C49458BB}">
                <c15:layout/>
                <c15:showLeaderLines val="0"/>
                <c15:leaderLines>
                  <c:spPr>
                    <a:ln w="12700" cap="flat" cmpd="sng" algn="ctr">
                      <a:solidFill>
                        <a:schemeClr val="tx1">
                          <a:tint val="95000"/>
                          <a:shade val="95000"/>
                          <a:satMod val="120000"/>
                        </a:schemeClr>
                      </a:solidFill>
                      <a:prstDash val="solid"/>
                      <a:round/>
                    </a:ln>
                    <a:effectLst/>
                  </c:spPr>
                </c15:leaderLines>
              </c:ext>
            </c:extLst>
          </c:dLbls>
          <c:cat>
            <c:strRef>
              <c:f>省内外生源!$A$2:$A$3</c:f>
              <c:strCache>
                <c:ptCount val="2"/>
                <c:pt idx="0">
                  <c:v>市内生源</c:v>
                </c:pt>
                <c:pt idx="1">
                  <c:v>市外生源</c:v>
                </c:pt>
              </c:strCache>
            </c:strRef>
          </c:cat>
          <c:val>
            <c:numRef>
              <c:f>省内外生源!$C$2:$C$3</c:f>
              <c:numCache>
                <c:formatCode>0.00_ </c:formatCode>
                <c:ptCount val="2"/>
                <c:pt idx="0">
                  <c:v>68.57</c:v>
                </c:pt>
                <c:pt idx="1">
                  <c:v>31.43</c:v>
                </c:pt>
              </c:numCache>
            </c:numRef>
          </c:val>
        </c:ser>
        <c:dLbls>
          <c:showLegendKey val="0"/>
          <c:showVal val="0"/>
          <c:showCatName val="0"/>
          <c:showSerName val="0"/>
          <c:showPercent val="0"/>
          <c:showBubbleSize val="0"/>
          <c:showLeaderLines val="0"/>
        </c:dLbls>
        <c:firstSliceAng val="0"/>
        <c:holeSize val="50"/>
      </c:doughnut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模拟创业活动</c:v>
                </c:pt>
                <c:pt idx="1">
                  <c:v>学校和政府提供的创业培训和咨询</c:v>
                </c:pt>
                <c:pt idx="2">
                  <c:v>创新创业大赛</c:v>
                </c:pt>
                <c:pt idx="3">
                  <c:v>创新创业课程</c:v>
                </c:pt>
                <c:pt idx="4">
                  <c:v>其他</c:v>
                </c:pt>
                <c:pt idx="5">
                  <c:v>顶岗实习/假期实习/课外兼职</c:v>
                </c:pt>
                <c:pt idx="6">
                  <c:v>社会实践活动</c:v>
                </c:pt>
                <c:pt idx="7">
                  <c:v>学生社团活动</c:v>
                </c:pt>
              </c:strCache>
            </c:strRef>
          </c:cat>
          <c:val>
            <c:numRef>
              <c:f>Sheet1!$B$2:$B$9</c:f>
              <c:numCache>
                <c:formatCode>0.00_ </c:formatCode>
                <c:ptCount val="8"/>
                <c:pt idx="0">
                  <c:v>10</c:v>
                </c:pt>
                <c:pt idx="1">
                  <c:v>10</c:v>
                </c:pt>
                <c:pt idx="2">
                  <c:v>10</c:v>
                </c:pt>
                <c:pt idx="3">
                  <c:v>20</c:v>
                </c:pt>
                <c:pt idx="4">
                  <c:v>30</c:v>
                </c:pt>
                <c:pt idx="5">
                  <c:v>40</c:v>
                </c:pt>
                <c:pt idx="6">
                  <c:v>40</c:v>
                </c:pt>
                <c:pt idx="7">
                  <c:v>60</c:v>
                </c:pt>
              </c:numCache>
            </c:numRef>
          </c:val>
        </c:ser>
        <c:dLbls>
          <c:showLegendKey val="0"/>
          <c:showVal val="1"/>
          <c:showCatName val="0"/>
          <c:showSerName val="0"/>
          <c:showPercent val="0"/>
          <c:showBubbleSize val="0"/>
        </c:dLbls>
        <c:gapWidth val="182"/>
        <c:overlap val="0"/>
        <c:axId val="932803517"/>
        <c:axId val="288735118"/>
      </c:barChart>
      <c:catAx>
        <c:axId val="932803517"/>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88735118"/>
        <c:crosses val="autoZero"/>
        <c:auto val="1"/>
        <c:lblAlgn val="ctr"/>
        <c:lblOffset val="100"/>
        <c:noMultiLvlLbl val="0"/>
      </c:catAx>
      <c:valAx>
        <c:axId val="288735118"/>
        <c:scaling>
          <c:orientation val="minMax"/>
        </c:scaling>
        <c:delete val="0"/>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3280351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1263848794935"/>
          <c:y val="0.0753828032979976"/>
          <c:w val="0.67035730733373"/>
          <c:h val="0.787051742207136"/>
        </c:manualLayout>
      </c:layout>
      <c:barChart>
        <c:barDir val="bar"/>
        <c:grouping val="clustered"/>
        <c:varyColors val="0"/>
        <c:ser>
          <c:idx val="0"/>
          <c:order val="0"/>
          <c:spPr>
            <a:solidFill>
              <a:schemeClr val="accent1"/>
            </a:solidFill>
            <a:ln>
              <a:noFill/>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12700" cap="flat" cmpd="sng" algn="ctr">
                      <a:solidFill>
                        <a:schemeClr val="tx1">
                          <a:tint val="95000"/>
                          <a:shade val="95000"/>
                          <a:satMod val="120000"/>
                        </a:schemeClr>
                      </a:solidFill>
                      <a:prstDash val="solid"/>
                      <a:round/>
                    </a:ln>
                    <a:effectLst/>
                  </c:spPr>
                </c15:leaderLines>
              </c:ext>
            </c:extLst>
          </c:dLbls>
          <c:cat>
            <c:strRef>
              <c:f>薪酬区间!$A$2:$A$7</c:f>
              <c:strCache>
                <c:ptCount val="6"/>
                <c:pt idx="0">
                  <c:v>2000元及以下</c:v>
                </c:pt>
                <c:pt idx="1">
                  <c:v>2001-3000元</c:v>
                </c:pt>
                <c:pt idx="2">
                  <c:v>3001-4000元</c:v>
                </c:pt>
                <c:pt idx="3">
                  <c:v>4001-5000元</c:v>
                </c:pt>
                <c:pt idx="4">
                  <c:v>5001-6000元</c:v>
                </c:pt>
                <c:pt idx="5">
                  <c:v>6000元以上</c:v>
                </c:pt>
              </c:strCache>
            </c:strRef>
          </c:cat>
          <c:val>
            <c:numRef>
              <c:f>薪酬区间!$B$2:$B$7</c:f>
              <c:numCache>
                <c:formatCode>0.00_ </c:formatCode>
                <c:ptCount val="6"/>
                <c:pt idx="0">
                  <c:v>8.78</c:v>
                </c:pt>
                <c:pt idx="1">
                  <c:v>41.8</c:v>
                </c:pt>
                <c:pt idx="2">
                  <c:v>21.94</c:v>
                </c:pt>
                <c:pt idx="3">
                  <c:v>11.09</c:v>
                </c:pt>
                <c:pt idx="4">
                  <c:v>5.31</c:v>
                </c:pt>
                <c:pt idx="5">
                  <c:v>2.77</c:v>
                </c:pt>
              </c:numCache>
            </c:numRef>
          </c:val>
        </c:ser>
        <c:dLbls>
          <c:showLegendKey val="0"/>
          <c:showVal val="0"/>
          <c:showCatName val="0"/>
          <c:showSerName val="0"/>
          <c:showPercent val="0"/>
          <c:showBubbleSize val="0"/>
        </c:dLbls>
        <c:gapWidth val="182"/>
        <c:axId val="653382224"/>
        <c:axId val="653382616"/>
      </c:barChart>
      <c:catAx>
        <c:axId val="653382224"/>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53382616"/>
        <c:crosses val="autoZero"/>
        <c:auto val="1"/>
        <c:lblAlgn val="ctr"/>
        <c:lblOffset val="100"/>
        <c:noMultiLvlLbl val="0"/>
      </c:catAx>
      <c:valAx>
        <c:axId val="653382616"/>
        <c:scaling>
          <c:orientation val="minMax"/>
        </c:scaling>
        <c:delete val="0"/>
        <c:axPos val="b"/>
        <c:numFmt formatCode="0.00_ " sourceLinked="1"/>
        <c:majorTickMark val="in"/>
        <c:minorTickMark val="none"/>
        <c:tickLblPos val="nextTo"/>
        <c:spPr>
          <a:noFill/>
          <a:ln w="12700" cap="flat" cmpd="sng" algn="ctr">
            <a:solidFill>
              <a:schemeClr val="bg1">
                <a:lumMod val="50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53382224"/>
        <c:crosses val="autoZero"/>
        <c:crossBetween val="between"/>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177869070714"/>
          <c:y val="0.0509259259259259"/>
          <c:w val="0.442031648217886"/>
          <c:h val="0.84167468649752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[行业门类薪水.xls]Sheet1!$A$1:$A$6</c:f>
              <c:strCache>
                <c:ptCount val="6"/>
                <c:pt idx="0">
                  <c:v> 居民服务、修理和其他服务业</c:v>
                </c:pt>
                <c:pt idx="1">
                  <c:v> 制造业</c:v>
                </c:pt>
                <c:pt idx="2">
                  <c:v> 交通运输、仓储和邮政业</c:v>
                </c:pt>
                <c:pt idx="3">
                  <c:v> 房地产业</c:v>
                </c:pt>
                <c:pt idx="4">
                  <c:v> 建筑业</c:v>
                </c:pt>
                <c:pt idx="5">
                  <c:v> 金融业</c:v>
                </c:pt>
              </c:strCache>
            </c:strRef>
          </c:cat>
          <c:val>
            <c:numRef>
              <c:f>[行业门类薪水.xls]Sheet1!$B$1:$B$6</c:f>
              <c:numCache>
                <c:formatCode>0.00_ </c:formatCode>
                <c:ptCount val="6"/>
                <c:pt idx="0">
                  <c:v>2552</c:v>
                </c:pt>
                <c:pt idx="1">
                  <c:v>3049.47826086957</c:v>
                </c:pt>
                <c:pt idx="2">
                  <c:v>3112.96296296296</c:v>
                </c:pt>
                <c:pt idx="3">
                  <c:v>3373.33333333333</c:v>
                </c:pt>
                <c:pt idx="4">
                  <c:v>3482.65354330709</c:v>
                </c:pt>
                <c:pt idx="5">
                  <c:v>4028.125</c:v>
                </c:pt>
              </c:numCache>
            </c:numRef>
          </c:val>
        </c:ser>
        <c:dLbls>
          <c:showLegendKey val="0"/>
          <c:showVal val="0"/>
          <c:showCatName val="0"/>
          <c:showSerName val="0"/>
          <c:showPercent val="0"/>
          <c:showBubbleSize val="0"/>
        </c:dLbls>
        <c:gapWidth val="182"/>
        <c:axId val="653383008"/>
        <c:axId val="653383400"/>
      </c:barChart>
      <c:catAx>
        <c:axId val="653383008"/>
        <c:scaling>
          <c:orientation val="minMax"/>
        </c:scaling>
        <c:delete val="0"/>
        <c:axPos val="l"/>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53383400"/>
        <c:crosses val="autoZero"/>
        <c:auto val="1"/>
        <c:lblAlgn val="ctr"/>
        <c:lblOffset val="100"/>
        <c:noMultiLvlLbl val="0"/>
      </c:catAx>
      <c:valAx>
        <c:axId val="65338340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单位：元</a:t>
                </a:r>
                <a:endParaRPr lang="zh-CN" altLang="en-US"/>
              </a:p>
            </c:rich>
          </c:tx>
          <c:layout>
            <c:manualLayout>
              <c:xMode val="edge"/>
              <c:yMode val="edge"/>
              <c:x val="0.882210425054334"/>
              <c:y val="0.875"/>
            </c:manualLayout>
          </c:layout>
          <c:overlay val="0"/>
          <c:spPr>
            <a:noFill/>
            <a:ln>
              <a:noFill/>
            </a:ln>
            <a:effectLst/>
          </c:spPr>
        </c:title>
        <c:numFmt formatCode="0.00_ "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53383008"/>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c:explosion val="0"/>
          <c:dPt>
            <c:idx val="0"/>
            <c:bubble3D val="0"/>
            <c:spPr>
              <a:solidFill>
                <a:schemeClr val="accent1">
                  <a:shade val="53000"/>
                </a:schemeClr>
              </a:solidFill>
              <a:ln>
                <a:noFill/>
              </a:ln>
              <a:effectLst/>
            </c:spPr>
          </c:dPt>
          <c:dPt>
            <c:idx val="1"/>
            <c:bubble3D val="0"/>
            <c:spPr>
              <a:solidFill>
                <a:schemeClr val="accent1">
                  <a:shade val="76000"/>
                </a:schemeClr>
              </a:solidFill>
              <a:ln>
                <a:noFill/>
              </a:ln>
              <a:effectLst/>
            </c:spPr>
          </c:dPt>
          <c:dPt>
            <c:idx val="2"/>
            <c:bubble3D val="0"/>
            <c:spPr>
              <a:solidFill>
                <a:schemeClr val="accent1"/>
              </a:solidFill>
              <a:ln>
                <a:noFill/>
              </a:ln>
              <a:effectLst/>
            </c:spPr>
          </c:dPt>
          <c:dPt>
            <c:idx val="3"/>
            <c:bubble3D val="0"/>
            <c:spPr>
              <a:solidFill>
                <a:schemeClr val="accent1">
                  <a:tint val="77000"/>
                </a:schemeClr>
              </a:solidFill>
              <a:ln>
                <a:noFill/>
              </a:ln>
              <a:effectLst/>
            </c:spPr>
          </c:dPt>
          <c:dPt>
            <c:idx val="4"/>
            <c:bubble3D val="0"/>
            <c:spPr>
              <a:solidFill>
                <a:schemeClr val="accent1">
                  <a:tint val="54000"/>
                </a:schemeClr>
              </a:solidFill>
              <a:ln>
                <a:noFill/>
              </a:ln>
              <a:effectLst/>
            </c:spPr>
          </c:dPt>
          <c:dLbls>
            <c:numFmt formatCode="0.00%" sourceLinked="0"/>
            <c:spPr>
              <a:noFill/>
              <a:ln w="25400">
                <a:noFill/>
              </a:ln>
              <a:effectLst/>
            </c:spPr>
            <c:txPr>
              <a:bodyPr rot="0" spcFirstLastPara="1" vertOverflow="ellipsis" vert="horz" wrap="non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专业对口度!$A$2:$A$6</c:f>
              <c:strCache>
                <c:ptCount val="5"/>
                <c:pt idx="0">
                  <c:v>很对口</c:v>
                </c:pt>
                <c:pt idx="1">
                  <c:v>比较对口</c:v>
                </c:pt>
                <c:pt idx="2">
                  <c:v>一般</c:v>
                </c:pt>
                <c:pt idx="3">
                  <c:v>比较不对口</c:v>
                </c:pt>
                <c:pt idx="4">
                  <c:v>很不对口</c:v>
                </c:pt>
              </c:strCache>
            </c:strRef>
          </c:cat>
          <c:val>
            <c:numRef>
              <c:f>专业对口度!$B$2:$B$6</c:f>
              <c:numCache>
                <c:formatCode>0.00_ </c:formatCode>
                <c:ptCount val="5"/>
                <c:pt idx="0">
                  <c:v>15.47</c:v>
                </c:pt>
                <c:pt idx="1">
                  <c:v>29.33</c:v>
                </c:pt>
                <c:pt idx="2">
                  <c:v>24.32</c:v>
                </c:pt>
                <c:pt idx="3">
                  <c:v>16.1</c:v>
                </c:pt>
                <c:pt idx="4">
                  <c:v>14.78</c:v>
                </c:pt>
              </c:numCache>
            </c:numRef>
          </c:val>
        </c:ser>
        <c:dLbls>
          <c:showLegendKey val="0"/>
          <c:showVal val="0"/>
          <c:showCatName val="0"/>
          <c:showSerName val="0"/>
          <c:showPercent val="0"/>
          <c:showBubbleSize val="0"/>
          <c:showLeaderLines val="1"/>
        </c:dLbls>
        <c:firstSliceAng val="0"/>
      </c:pie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c:explosion val="0"/>
          <c:dPt>
            <c:idx val="0"/>
            <c:bubble3D val="0"/>
            <c:spPr>
              <a:solidFill>
                <a:schemeClr val="accent1">
                  <a:shade val="50000"/>
                </a:schemeClr>
              </a:solidFill>
              <a:ln w="19050">
                <a:solidFill>
                  <a:schemeClr val="lt1"/>
                </a:solidFill>
              </a:ln>
              <a:effectLst/>
            </c:spPr>
          </c:dPt>
          <c:dPt>
            <c:idx val="1"/>
            <c:bubble3D val="0"/>
            <c:spPr>
              <a:solidFill>
                <a:schemeClr val="accent1">
                  <a:shade val="70000"/>
                </a:schemeClr>
              </a:solidFill>
              <a:ln w="19050">
                <a:solidFill>
                  <a:schemeClr val="lt1"/>
                </a:solidFill>
              </a:ln>
              <a:effectLst/>
            </c:spPr>
          </c:dPt>
          <c:dPt>
            <c:idx val="2"/>
            <c:bubble3D val="0"/>
            <c:spPr>
              <a:solidFill>
                <a:schemeClr val="accent1">
                  <a:shade val="90000"/>
                </a:schemeClr>
              </a:solidFill>
              <a:ln w="19050">
                <a:solidFill>
                  <a:schemeClr val="lt1"/>
                </a:solidFill>
              </a:ln>
              <a:effectLst/>
            </c:spPr>
          </c:dPt>
          <c:dPt>
            <c:idx val="3"/>
            <c:bubble3D val="0"/>
            <c:spPr>
              <a:solidFill>
                <a:schemeClr val="accent1">
                  <a:tint val="90000"/>
                </a:schemeClr>
              </a:solidFill>
              <a:ln w="19050">
                <a:solidFill>
                  <a:schemeClr val="lt1"/>
                </a:solidFill>
              </a:ln>
              <a:effectLst/>
            </c:spPr>
          </c:dPt>
          <c:dPt>
            <c:idx val="4"/>
            <c:bubble3D val="0"/>
            <c:spPr>
              <a:solidFill>
                <a:schemeClr val="accent1">
                  <a:tint val="70000"/>
                </a:schemeClr>
              </a:solidFill>
              <a:ln w="19050">
                <a:solidFill>
                  <a:schemeClr val="lt1"/>
                </a:solidFill>
              </a:ln>
              <a:effectLst/>
            </c:spPr>
          </c:dPt>
          <c:dPt>
            <c:idx val="5"/>
            <c:bubble3D val="0"/>
            <c:spPr>
              <a:solidFill>
                <a:schemeClr val="accent1">
                  <a:tint val="50000"/>
                </a:schemeClr>
              </a:solidFill>
              <a:ln w="19050">
                <a:solidFill>
                  <a:schemeClr val="lt1"/>
                </a:solidFill>
              </a:ln>
              <a:effectLst/>
            </c:spPr>
          </c:dPt>
          <c:dLbls>
            <c:dLbl>
              <c:idx val="4"/>
              <c:layout>
                <c:manualLayout>
                  <c:x val="-0.133333333333333"/>
                  <c:y val="0.0858322265757304"/>
                </c:manualLayout>
              </c:layout>
              <c:dLblPos val="out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0229166666666667"/>
                  <c:y val="0.105075946415749"/>
                </c:manualLayout>
              </c:layout>
              <c:dLblPos val="outEnd"/>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低对口原因!$A$2:$A$7</c:f>
              <c:strCache>
                <c:ptCount val="6"/>
                <c:pt idx="0">
                  <c:v>对口工作不符合兴趣</c:v>
                </c:pt>
                <c:pt idx="1">
                  <c:v>对口工作就业机会少</c:v>
                </c:pt>
                <c:pt idx="2">
                  <c:v>对口工作收入待遇较低</c:v>
                </c:pt>
                <c:pt idx="3">
                  <c:v>其他</c:v>
                </c:pt>
                <c:pt idx="4">
                  <c:v>对口工作环境不好</c:v>
                </c:pt>
                <c:pt idx="5">
                  <c:v>对口工作的要求过高</c:v>
                </c:pt>
              </c:strCache>
            </c:strRef>
          </c:cat>
          <c:val>
            <c:numRef>
              <c:f>低对口原因!$B$2:$B$7</c:f>
              <c:numCache>
                <c:formatCode>0.00_ </c:formatCode>
                <c:ptCount val="6"/>
                <c:pt idx="0">
                  <c:v>39.55</c:v>
                </c:pt>
                <c:pt idx="1">
                  <c:v>16.95</c:v>
                </c:pt>
                <c:pt idx="2">
                  <c:v>12.43</c:v>
                </c:pt>
                <c:pt idx="3">
                  <c:v>22.03</c:v>
                </c:pt>
                <c:pt idx="4">
                  <c:v>3.39</c:v>
                </c:pt>
                <c:pt idx="5">
                  <c:v>5.65</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列1</c:v>
                </c:pt>
              </c:strCache>
            </c:strRef>
          </c:tx>
          <c:spPr/>
          <c:explosion val="0"/>
          <c:dPt>
            <c:idx val="0"/>
            <c:bubble3D val="0"/>
            <c:spPr>
              <a:solidFill>
                <a:schemeClr val="accent1">
                  <a:shade val="53333"/>
                </a:schemeClr>
              </a:solidFill>
              <a:ln w="19050">
                <a:solidFill>
                  <a:schemeClr val="lt1"/>
                </a:solidFill>
              </a:ln>
              <a:effectLst/>
            </c:spPr>
          </c:dPt>
          <c:dPt>
            <c:idx val="1"/>
            <c:bubble3D val="0"/>
            <c:spPr>
              <a:solidFill>
                <a:schemeClr val="accent1">
                  <a:shade val="76667"/>
                </a:schemeClr>
              </a:solidFill>
              <a:ln w="19050">
                <a:solidFill>
                  <a:schemeClr val="lt1"/>
                </a:solidFill>
              </a:ln>
              <a:effectLst/>
            </c:spPr>
          </c:dPt>
          <c:dPt>
            <c:idx val="2"/>
            <c:bubble3D val="0"/>
            <c:spPr>
              <a:solidFill>
                <a:schemeClr val="accent1"/>
              </a:solidFill>
              <a:ln w="19050">
                <a:solidFill>
                  <a:schemeClr val="lt1"/>
                </a:solidFill>
              </a:ln>
              <a:effectLst/>
            </c:spPr>
          </c:dPt>
          <c:dPt>
            <c:idx val="3"/>
            <c:bubble3D val="0"/>
            <c:spPr>
              <a:solidFill>
                <a:schemeClr val="accent1">
                  <a:tint val="76667"/>
                </a:schemeClr>
              </a:solidFill>
              <a:ln w="19050">
                <a:solidFill>
                  <a:schemeClr val="lt1"/>
                </a:solidFill>
              </a:ln>
              <a:effectLst/>
            </c:spPr>
          </c:dPt>
          <c:dPt>
            <c:idx val="4"/>
            <c:bubble3D val="0"/>
            <c:spPr>
              <a:solidFill>
                <a:schemeClr val="accent1">
                  <a:tint val="53333"/>
                </a:schemeClr>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ysClr val="windowText" lastClr="000000"/>
                        </a:solidFill>
                        <a:latin typeface="+mn-lt"/>
                        <a:ea typeface="+mn-ea"/>
                        <a:cs typeface="+mn-cs"/>
                      </a:defRPr>
                    </a:pPr>
                    <a:r>
                      <a:rPr>
                        <a:solidFill>
                          <a:sysClr val="windowText" lastClr="000000"/>
                        </a:solidFill>
                      </a:rPr>
                      <a:t>很满意, 14.32%</a:t>
                    </a:r>
                    <a:endParaRPr>
                      <a:solidFill>
                        <a:sysClr val="windowText" lastClr="000000"/>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inEnd"/>
              <c:showLegendKey val="0"/>
              <c:showVal val="1"/>
              <c:showCatName val="1"/>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ysClr val="windowText" lastClr="000000"/>
                        </a:solidFill>
                        <a:latin typeface="+mn-lt"/>
                        <a:ea typeface="+mn-ea"/>
                        <a:cs typeface="+mn-cs"/>
                      </a:defRPr>
                    </a:pPr>
                    <a:r>
                      <a:rPr>
                        <a:solidFill>
                          <a:sysClr val="windowText" lastClr="000000"/>
                        </a:solidFill>
                      </a:rPr>
                      <a:t>比较满意, 37.88%</a:t>
                    </a:r>
                    <a:endParaRPr>
                      <a:solidFill>
                        <a:sysClr val="windowText" lastClr="000000"/>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inEnd"/>
              <c:showLegendKey val="0"/>
              <c:showVal val="1"/>
              <c:showCatName val="1"/>
              <c:showSerName val="0"/>
              <c:showPercent val="1"/>
              <c:showBubbleSize val="0"/>
              <c:extLst>
                <c:ext xmlns:c15="http://schemas.microsoft.com/office/drawing/2012/chart" uri="{CE6537A1-D6FC-4f65-9D91-7224C49458BB}"/>
              </c:extLst>
            </c:dLbl>
            <c:dLbl>
              <c:idx val="3"/>
              <c:layout>
                <c:manualLayout>
                  <c:x val="-0.206881533101045"/>
                  <c:y val="-0.0745990794686725"/>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ysClr val="windowText" lastClr="000000"/>
                        </a:solidFill>
                        <a:latin typeface="+mn-lt"/>
                        <a:ea typeface="+mn-ea"/>
                        <a:cs typeface="+mn-cs"/>
                      </a:defRPr>
                    </a:pPr>
                    <a:r>
                      <a:rPr>
                        <a:solidFill>
                          <a:sysClr val="windowText" lastClr="000000"/>
                        </a:solidFill>
                      </a:rPr>
                      <a:t>比较不满意, 6.7%</a:t>
                    </a:r>
                    <a:endParaRPr>
                      <a:solidFill>
                        <a:sysClr val="windowText" lastClr="000000"/>
                      </a:solidFill>
                    </a:endParaRPr>
                  </a:p>
                </c:rich>
              </c:tx>
              <c:dLblPos val="inEnd"/>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3.30101154824669e-17"/>
                  <c:y val="-0.0598758481919968"/>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ysClr val="windowText" lastClr="000000"/>
                        </a:solidFill>
                        <a:latin typeface="+mn-lt"/>
                        <a:ea typeface="+mn-ea"/>
                        <a:cs typeface="+mn-cs"/>
                      </a:defRPr>
                    </a:pPr>
                    <a:r>
                      <a:rPr>
                        <a:solidFill>
                          <a:sysClr val="windowText" lastClr="000000"/>
                        </a:solidFill>
                      </a:rPr>
                      <a:t>很不满意, 2.54%</a:t>
                    </a:r>
                    <a:endParaRPr>
                      <a:solidFill>
                        <a:sysClr val="windowText" lastClr="000000"/>
                      </a:solidFill>
                    </a:endParaRPr>
                  </a:p>
                </c:rich>
              </c:tx>
              <c:dLblPos val="inEnd"/>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General</c:formatCode>
                <c:ptCount val="5"/>
                <c:pt idx="0">
                  <c:v>14.32</c:v>
                </c:pt>
                <c:pt idx="1">
                  <c:v>37.88</c:v>
                </c:pt>
                <c:pt idx="2">
                  <c:v>38.57</c:v>
                </c:pt>
                <c:pt idx="3">
                  <c:v>6.7</c:v>
                </c:pt>
                <c:pt idx="4">
                  <c:v>2.54</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25620565173833"/>
          <c:y val="0.0518256772673734"/>
          <c:w val="0.616109648360201"/>
          <c:h val="0.838877419474509"/>
        </c:manualLayout>
      </c:layout>
      <c:barChart>
        <c:barDir val="bar"/>
        <c:grouping val="clustered"/>
        <c:varyColors val="0"/>
        <c:ser>
          <c:idx val="0"/>
          <c:order val="0"/>
          <c:spPr>
            <a:solidFill>
              <a:schemeClr val="accent1"/>
            </a:solidFill>
            <a:ln>
              <a:noFill/>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12700" cap="flat" cmpd="sng" algn="ctr">
                      <a:solidFill>
                        <a:schemeClr val="tx1">
                          <a:tint val="95000"/>
                          <a:shade val="95000"/>
                          <a:satMod val="120000"/>
                        </a:schemeClr>
                      </a:solidFill>
                      <a:prstDash val="solid"/>
                      <a:round/>
                    </a:ln>
                    <a:effectLst/>
                  </c:spPr>
                </c15:leaderLines>
              </c:ext>
            </c:extLst>
          </c:dLbls>
          <c:cat>
            <c:strRef>
              <c:f>就业满意度!$F$2:$F$6</c:f>
              <c:strCache>
                <c:ptCount val="5"/>
                <c:pt idx="0">
                  <c:v>薪酬的满意度</c:v>
                </c:pt>
                <c:pt idx="1">
                  <c:v>工作地点的满意度</c:v>
                </c:pt>
                <c:pt idx="2">
                  <c:v>工作环境的满意度</c:v>
                </c:pt>
                <c:pt idx="3">
                  <c:v>职业发展前景的满意度</c:v>
                </c:pt>
                <c:pt idx="4">
                  <c:v>工作内容的满意度</c:v>
                </c:pt>
              </c:strCache>
            </c:strRef>
          </c:cat>
          <c:val>
            <c:numRef>
              <c:f>就业满意度!$G$2:$G$6</c:f>
              <c:numCache>
                <c:formatCode>0.00_ </c:formatCode>
                <c:ptCount val="5"/>
                <c:pt idx="0">
                  <c:v>77.14</c:v>
                </c:pt>
                <c:pt idx="1">
                  <c:v>85.21</c:v>
                </c:pt>
                <c:pt idx="2">
                  <c:v>85.68</c:v>
                </c:pt>
                <c:pt idx="3">
                  <c:v>86.6</c:v>
                </c:pt>
                <c:pt idx="4">
                  <c:v>89.84</c:v>
                </c:pt>
              </c:numCache>
            </c:numRef>
          </c:val>
        </c:ser>
        <c:dLbls>
          <c:showLegendKey val="0"/>
          <c:showVal val="0"/>
          <c:showCatName val="0"/>
          <c:showSerName val="0"/>
          <c:showPercent val="0"/>
          <c:showBubbleSize val="0"/>
        </c:dLbls>
        <c:gapWidth val="182"/>
        <c:axId val="752007488"/>
        <c:axId val="752007880"/>
      </c:barChart>
      <c:catAx>
        <c:axId val="752007488"/>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752007880"/>
        <c:crosses val="autoZero"/>
        <c:auto val="1"/>
        <c:lblAlgn val="ctr"/>
        <c:lblOffset val="100"/>
        <c:noMultiLvlLbl val="0"/>
      </c:catAx>
      <c:valAx>
        <c:axId val="752007880"/>
        <c:scaling>
          <c:orientation val="minMax"/>
          <c:max val="5"/>
          <c:min val="0"/>
        </c:scaling>
        <c:delete val="0"/>
        <c:axPos val="b"/>
        <c:numFmt formatCode="0.00_ " sourceLinked="1"/>
        <c:majorTickMark val="in"/>
        <c:minorTickMark val="none"/>
        <c:tickLblPos val="nextTo"/>
        <c:spPr>
          <a:noFill/>
          <a:ln w="12700" cap="flat" cmpd="sng" algn="ctr">
            <a:solidFill>
              <a:schemeClr val="bg1">
                <a:lumMod val="50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52007488"/>
        <c:crosses val="autoZero"/>
        <c:crossBetween val="between"/>
        <c:majorUnit val="1"/>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p>
      </c:txPr>
    </c:title>
    <c:autoTitleDeleted val="0"/>
    <c:plotArea>
      <c:layout/>
      <c:barChart>
        <c:barDir val="bar"/>
        <c:grouping val="clustered"/>
        <c:varyColors val="0"/>
        <c:ser>
          <c:idx val="0"/>
          <c:order val="0"/>
          <c:tx>
            <c:strRef>
              <c:f>Sheet1!$B$1</c:f>
              <c:strCache>
                <c:ptCount val="1"/>
                <c:pt idx="0">
                  <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学校网站发布的就业信息</c:v>
                </c:pt>
                <c:pt idx="1">
                  <c:v>校外的现场招聘会</c:v>
                </c:pt>
                <c:pt idx="2">
                  <c:v>学校及老师的推荐</c:v>
                </c:pt>
                <c:pt idx="3">
                  <c:v>学校提供的其他实习/实践机会（除顶岗实习）</c:v>
                </c:pt>
                <c:pt idx="4">
                  <c:v>其他</c:v>
                </c:pt>
                <c:pt idx="5">
                  <c:v>父母及亲友推荐</c:v>
                </c:pt>
                <c:pt idx="6">
                  <c:v>专业化的招聘求职网站</c:v>
                </c:pt>
                <c:pt idx="7">
                  <c:v>顶岗实习</c:v>
                </c:pt>
                <c:pt idx="8">
                  <c:v>直接向用人单位申请</c:v>
                </c:pt>
                <c:pt idx="9">
                  <c:v>学校组织的现场招聘会</c:v>
                </c:pt>
              </c:strCache>
            </c:strRef>
          </c:cat>
          <c:val>
            <c:numRef>
              <c:f>Sheet1!$B$2:$B$11</c:f>
              <c:numCache>
                <c:formatCode>General</c:formatCode>
                <c:ptCount val="10"/>
                <c:pt idx="0">
                  <c:v>1.39</c:v>
                </c:pt>
                <c:pt idx="1">
                  <c:v>2.08</c:v>
                </c:pt>
                <c:pt idx="2">
                  <c:v>2.54</c:v>
                </c:pt>
                <c:pt idx="3">
                  <c:v>3.7</c:v>
                </c:pt>
                <c:pt idx="4">
                  <c:v>9.01</c:v>
                </c:pt>
                <c:pt idx="5">
                  <c:v>9.24</c:v>
                </c:pt>
                <c:pt idx="6">
                  <c:v>10.62</c:v>
                </c:pt>
                <c:pt idx="7">
                  <c:v>15.24</c:v>
                </c:pt>
                <c:pt idx="8">
                  <c:v>18.48</c:v>
                </c:pt>
                <c:pt idx="9">
                  <c:v>27.71</c:v>
                </c:pt>
              </c:numCache>
            </c:numRef>
          </c:val>
        </c:ser>
        <c:dLbls>
          <c:showLegendKey val="0"/>
          <c:showVal val="1"/>
          <c:showCatName val="0"/>
          <c:showSerName val="0"/>
          <c:showPercent val="0"/>
          <c:showBubbleSize val="0"/>
        </c:dLbls>
        <c:gapWidth val="182"/>
        <c:overlap val="0"/>
        <c:axId val="236633439"/>
        <c:axId val="349761412"/>
      </c:barChart>
      <c:catAx>
        <c:axId val="236633439"/>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349761412"/>
        <c:crosses val="autoZero"/>
        <c:auto val="1"/>
        <c:lblAlgn val="ctr"/>
        <c:lblOffset val="100"/>
        <c:noMultiLvlLbl val="0"/>
      </c:catAx>
      <c:valAx>
        <c:axId val="3497614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36633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存在就业歧视</c:v>
                </c:pt>
                <c:pt idx="1">
                  <c:v>没有参与过求职</c:v>
                </c:pt>
                <c:pt idx="2">
                  <c:v>其他</c:v>
                </c:pt>
                <c:pt idx="3">
                  <c:v>就业能力不足</c:v>
                </c:pt>
                <c:pt idx="4">
                  <c:v>用人单位待遇和条件不符合预期</c:v>
                </c:pt>
                <c:pt idx="5">
                  <c:v>求职方法技巧缺乏</c:v>
                </c:pt>
                <c:pt idx="6">
                  <c:v>获取招聘信息的渠道太少</c:v>
                </c:pt>
                <c:pt idx="7">
                  <c:v>适合自己专业和学历的岗位太少</c:v>
                </c:pt>
                <c:pt idx="8">
                  <c:v>社会关系缺乏</c:v>
                </c:pt>
                <c:pt idx="9">
                  <c:v>缺乏实践经验</c:v>
                </c:pt>
              </c:strCache>
            </c:strRef>
          </c:cat>
          <c:val>
            <c:numRef>
              <c:f>Sheet1!$B$2:$B$11</c:f>
              <c:numCache>
                <c:formatCode>General</c:formatCode>
                <c:ptCount val="10"/>
                <c:pt idx="0">
                  <c:v>7.89</c:v>
                </c:pt>
                <c:pt idx="1">
                  <c:v>10.53</c:v>
                </c:pt>
                <c:pt idx="2">
                  <c:v>15.79</c:v>
                </c:pt>
                <c:pt idx="3">
                  <c:v>15.79</c:v>
                </c:pt>
                <c:pt idx="4">
                  <c:v>15.79</c:v>
                </c:pt>
                <c:pt idx="5">
                  <c:v>18.42</c:v>
                </c:pt>
                <c:pt idx="6">
                  <c:v>26.32</c:v>
                </c:pt>
                <c:pt idx="7">
                  <c:v>28.95</c:v>
                </c:pt>
                <c:pt idx="8">
                  <c:v>42.11</c:v>
                </c:pt>
                <c:pt idx="9">
                  <c:v>52.63</c:v>
                </c:pt>
              </c:numCache>
            </c:numRef>
          </c:val>
        </c:ser>
        <c:dLbls>
          <c:showLegendKey val="0"/>
          <c:showVal val="1"/>
          <c:showCatName val="0"/>
          <c:showSerName val="0"/>
          <c:showPercent val="0"/>
          <c:showBubbleSize val="0"/>
        </c:dLbls>
        <c:gapWidth val="182"/>
        <c:overlap val="0"/>
        <c:axId val="981252839"/>
        <c:axId val="727518129"/>
      </c:barChart>
      <c:catAx>
        <c:axId val="981252839"/>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27518129"/>
        <c:crosses val="autoZero"/>
        <c:auto val="1"/>
        <c:lblAlgn val="ctr"/>
        <c:lblOffset val="100"/>
        <c:noMultiLvlLbl val="0"/>
      </c:catAx>
      <c:valAx>
        <c:axId val="72751812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81252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2014届</c:v>
                </c:pt>
                <c:pt idx="1">
                  <c:v>2015届</c:v>
                </c:pt>
                <c:pt idx="2">
                  <c:v>2016届</c:v>
                </c:pt>
              </c:strCache>
            </c:strRef>
          </c:cat>
          <c:val>
            <c:numRef>
              <c:f>Sheet1!$B$2:$B$4</c:f>
              <c:numCache>
                <c:formatCode>0.00%</c:formatCode>
                <c:ptCount val="3"/>
                <c:pt idx="0">
                  <c:v>0.9843</c:v>
                </c:pt>
                <c:pt idx="1">
                  <c:v>0.9795</c:v>
                </c:pt>
                <c:pt idx="2">
                  <c:v>0.985</c:v>
                </c:pt>
              </c:numCache>
            </c:numRef>
          </c:val>
        </c:ser>
        <c:dLbls>
          <c:showLegendKey val="0"/>
          <c:showVal val="1"/>
          <c:showCatName val="0"/>
          <c:showSerName val="0"/>
          <c:showPercent val="0"/>
          <c:showBubbleSize val="0"/>
        </c:dLbls>
        <c:gapWidth val="75"/>
        <c:overlap val="0"/>
        <c:axId val="973292728"/>
        <c:axId val="513549295"/>
      </c:barChart>
      <c:catAx>
        <c:axId val="973292728"/>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513549295"/>
        <c:crosses val="autoZero"/>
        <c:auto val="1"/>
        <c:lblAlgn val="ctr"/>
        <c:lblOffset val="100"/>
        <c:noMultiLvlLbl val="0"/>
      </c:catAx>
      <c:valAx>
        <c:axId val="513549295"/>
        <c:scaling>
          <c:orientation val="minMax"/>
        </c:scaling>
        <c:delete val="0"/>
        <c:axPos val="l"/>
        <c:numFmt formatCode="0.0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3292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交通工程系</c:v>
                </c:pt>
                <c:pt idx="1">
                  <c:v>河海系</c:v>
                </c:pt>
                <c:pt idx="2">
                  <c:v>交通运输系</c:v>
                </c:pt>
                <c:pt idx="3">
                  <c:v>建筑系</c:v>
                </c:pt>
                <c:pt idx="4">
                  <c:v>道路桥梁系</c:v>
                </c:pt>
                <c:pt idx="5">
                  <c:v>航空系</c:v>
                </c:pt>
                <c:pt idx="6">
                  <c:v>机电系</c:v>
                </c:pt>
                <c:pt idx="7">
                  <c:v>车辆工程系</c:v>
                </c:pt>
                <c:pt idx="8">
                  <c:v>铁道工程系</c:v>
                </c:pt>
              </c:strCache>
            </c:strRef>
          </c:cat>
          <c:val>
            <c:numRef>
              <c:f>Sheet1!$B$2:$B$10</c:f>
              <c:numCache>
                <c:formatCode>0.00_ </c:formatCode>
                <c:ptCount val="9"/>
                <c:pt idx="0">
                  <c:v>94.29</c:v>
                </c:pt>
                <c:pt idx="1">
                  <c:v>96.67</c:v>
                </c:pt>
                <c:pt idx="2">
                  <c:v>97.22</c:v>
                </c:pt>
                <c:pt idx="3">
                  <c:v>97.99</c:v>
                </c:pt>
                <c:pt idx="4">
                  <c:v>99.19</c:v>
                </c:pt>
                <c:pt idx="5">
                  <c:v>100</c:v>
                </c:pt>
                <c:pt idx="6">
                  <c:v>100</c:v>
                </c:pt>
                <c:pt idx="7">
                  <c:v>100</c:v>
                </c:pt>
                <c:pt idx="8">
                  <c:v>100</c:v>
                </c:pt>
              </c:numCache>
            </c:numRef>
          </c:val>
        </c:ser>
        <c:dLbls>
          <c:showLegendKey val="0"/>
          <c:showVal val="1"/>
          <c:showCatName val="0"/>
          <c:showSerName val="0"/>
          <c:showPercent val="0"/>
          <c:showBubbleSize val="0"/>
        </c:dLbls>
        <c:gapWidth val="182"/>
        <c:overlap val="0"/>
        <c:axId val="68141822"/>
        <c:axId val="580302367"/>
      </c:barChart>
      <c:catAx>
        <c:axId val="68141822"/>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580302367"/>
        <c:crosses val="autoZero"/>
        <c:auto val="1"/>
        <c:lblAlgn val="ctr"/>
        <c:lblOffset val="100"/>
        <c:noMultiLvlLbl val="0"/>
      </c:catAx>
      <c:valAx>
        <c:axId val="580302367"/>
        <c:scaling>
          <c:orientation val="minMax"/>
        </c:scaling>
        <c:delete val="0"/>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814182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c:explosion val="0"/>
          <c:dPt>
            <c:idx val="0"/>
            <c:bubble3D val="0"/>
            <c:spPr>
              <a:solidFill>
                <a:schemeClr val="accent1">
                  <a:shade val="53000"/>
                </a:schemeClr>
              </a:solidFill>
              <a:ln>
                <a:noFill/>
              </a:ln>
              <a:effectLst/>
            </c:spPr>
          </c:dPt>
          <c:dPt>
            <c:idx val="1"/>
            <c:bubble3D val="0"/>
            <c:spPr>
              <a:solidFill>
                <a:schemeClr val="accent1">
                  <a:shade val="76000"/>
                </a:schemeClr>
              </a:solidFill>
              <a:ln>
                <a:noFill/>
              </a:ln>
              <a:effectLst/>
            </c:spPr>
          </c:dPt>
          <c:dPt>
            <c:idx val="2"/>
            <c:bubble3D val="0"/>
            <c:spPr>
              <a:solidFill>
                <a:schemeClr val="accent1"/>
              </a:solidFill>
              <a:ln>
                <a:noFill/>
              </a:ln>
              <a:effectLst/>
            </c:spPr>
          </c:dPt>
          <c:dPt>
            <c:idx val="3"/>
            <c:bubble3D val="0"/>
            <c:spPr>
              <a:solidFill>
                <a:schemeClr val="accent1">
                  <a:tint val="77000"/>
                </a:schemeClr>
              </a:solidFill>
              <a:ln>
                <a:noFill/>
              </a:ln>
              <a:effectLst/>
            </c:spPr>
          </c:dPt>
          <c:dPt>
            <c:idx val="4"/>
            <c:bubble3D val="0"/>
            <c:spPr>
              <a:solidFill>
                <a:schemeClr val="accent1">
                  <a:tint val="54000"/>
                </a:schemeClr>
              </a:solidFill>
              <a:ln>
                <a:noFill/>
              </a:ln>
              <a:effectLst/>
            </c:spPr>
          </c:dPt>
          <c:dLbls>
            <c:dLbl>
              <c:idx val="0"/>
              <c:layout>
                <c:manualLayout>
                  <c:x val="0.0456834532374099"/>
                  <c:y val="0.189592663680955"/>
                </c:manualLayout>
              </c:layout>
              <c:numFmt formatCode="0.00%" sourceLinked="0"/>
              <c:spPr>
                <a:noFill/>
                <a:ln w="25400">
                  <a:noFill/>
                </a:ln>
                <a:effectLst/>
              </c:spPr>
              <c:txPr>
                <a:bodyPr rot="0" spcFirstLastPara="1" vertOverflow="ellipsis" vert="horz" wrap="non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numFmt formatCode="0.00%" sourceLinked="0"/>
              <c:spPr>
                <a:noFill/>
                <a:ln w="25400">
                  <a:noFill/>
                </a:ln>
                <a:effectLst/>
              </c:spPr>
              <c:txPr>
                <a:bodyPr rot="0" spcFirstLastPara="1" vertOverflow="ellipsis" vert="horz" wrap="non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00507593924860112"/>
                  <c:y val="0.216677329921092"/>
                </c:manualLayout>
              </c:layout>
              <c:numFmt formatCode="0.00%" sourceLinked="0"/>
              <c:spPr>
                <a:noFill/>
                <a:ln w="25400">
                  <a:noFill/>
                </a:ln>
                <a:effectLst/>
              </c:spPr>
              <c:txPr>
                <a:bodyPr rot="0" spcFirstLastPara="1" vertOverflow="ellipsis" vert="horz" wrap="non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06594724220624"/>
                  <c:y val="0"/>
                </c:manualLayout>
              </c:layout>
              <c:numFmt formatCode="0.00%" sourceLinked="0"/>
              <c:spPr>
                <a:noFill/>
                <a:ln w="25400">
                  <a:noFill/>
                </a:ln>
                <a:effectLst/>
              </c:spPr>
              <c:txPr>
                <a:bodyPr rot="0" spcFirstLastPara="1" vertOverflow="ellipsis" vert="horz" wrap="non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31974420463629"/>
                  <c:y val="0.00677116656003412"/>
                </c:manualLayout>
              </c:layout>
              <c:numFmt formatCode="0.00%" sourceLinked="0"/>
              <c:spPr>
                <a:noFill/>
                <a:ln w="25400">
                  <a:noFill/>
                </a:ln>
                <a:effectLst/>
              </c:spPr>
              <c:txPr>
                <a:bodyPr rot="0" spcFirstLastPara="1" vertOverflow="ellipsis" vert="horz" wrap="non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w="25400">
                <a:noFill/>
              </a:ln>
              <a:effectLst/>
            </c:spPr>
            <c:txPr>
              <a:bodyPr rot="0" spcFirstLastPara="1" vertOverflow="ellipsis" vert="horz" wrap="non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母校满意度!$A$2:$A$6</c:f>
              <c:strCache>
                <c:ptCount val="5"/>
                <c:pt idx="0">
                  <c:v>很满意</c:v>
                </c:pt>
                <c:pt idx="1">
                  <c:v>比较满意</c:v>
                </c:pt>
                <c:pt idx="2">
                  <c:v>一般</c:v>
                </c:pt>
                <c:pt idx="3">
                  <c:v>比较不满意</c:v>
                </c:pt>
                <c:pt idx="4">
                  <c:v>很不满意</c:v>
                </c:pt>
              </c:strCache>
            </c:strRef>
          </c:cat>
          <c:val>
            <c:numRef>
              <c:f>母校满意度!$B$2:$B$6</c:f>
              <c:numCache>
                <c:formatCode>0.00_ </c:formatCode>
                <c:ptCount val="5"/>
                <c:pt idx="0">
                  <c:v>34.82</c:v>
                </c:pt>
                <c:pt idx="1">
                  <c:v>45.04</c:v>
                </c:pt>
                <c:pt idx="2">
                  <c:v>16.77</c:v>
                </c:pt>
                <c:pt idx="3">
                  <c:v>1.6</c:v>
                </c:pt>
                <c:pt idx="4">
                  <c:v>1.77</c:v>
                </c:pt>
              </c:numCache>
            </c:numRef>
          </c:val>
        </c:ser>
        <c:dLbls>
          <c:showLegendKey val="0"/>
          <c:showVal val="0"/>
          <c:showCatName val="0"/>
          <c:showSerName val="0"/>
          <c:showPercent val="0"/>
          <c:showBubbleSize val="0"/>
          <c:showLeaderLines val="1"/>
        </c:dLbls>
        <c:firstSliceAng val="0"/>
      </c:pie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c:explosion val="0"/>
          <c:dPt>
            <c:idx val="0"/>
            <c:bubble3D val="0"/>
            <c:spPr>
              <a:solidFill>
                <a:schemeClr val="accent1">
                  <a:shade val="65000"/>
                </a:schemeClr>
              </a:solidFill>
              <a:ln>
                <a:noFill/>
              </a:ln>
              <a:effectLst/>
            </c:spPr>
          </c:dPt>
          <c:dPt>
            <c:idx val="1"/>
            <c:bubble3D val="0"/>
            <c:spPr>
              <a:solidFill>
                <a:schemeClr val="accent1"/>
              </a:solidFill>
              <a:ln>
                <a:noFill/>
              </a:ln>
              <a:effectLst/>
            </c:spPr>
          </c:dPt>
          <c:dPt>
            <c:idx val="2"/>
            <c:bubble3D val="0"/>
            <c:spPr>
              <a:solidFill>
                <a:schemeClr val="accent1">
                  <a:tint val="65000"/>
                </a:schemeClr>
              </a:solidFill>
              <a:ln>
                <a:noFill/>
              </a:ln>
              <a:effectLst/>
            </c:spPr>
          </c:dPt>
          <c:dLbls>
            <c:numFmt formatCode="0.00%" sourceLinked="0"/>
            <c:spPr>
              <a:noFill/>
              <a:ln w="25400">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母校推荐度!$A$2:$A$4</c:f>
              <c:strCache>
                <c:ptCount val="3"/>
                <c:pt idx="0">
                  <c:v>愿意</c:v>
                </c:pt>
                <c:pt idx="1">
                  <c:v>不确定</c:v>
                </c:pt>
                <c:pt idx="2">
                  <c:v>不愿意</c:v>
                </c:pt>
              </c:strCache>
            </c:strRef>
          </c:cat>
          <c:val>
            <c:numRef>
              <c:f>母校推荐度!$C$2:$C$4</c:f>
              <c:numCache>
                <c:formatCode>0.00_ </c:formatCode>
                <c:ptCount val="3"/>
                <c:pt idx="0">
                  <c:v>44.86</c:v>
                </c:pt>
                <c:pt idx="1">
                  <c:v>44.5</c:v>
                </c:pt>
                <c:pt idx="2">
                  <c:v>1.64</c:v>
                </c:pt>
              </c:numCache>
            </c:numRef>
          </c:val>
        </c:ser>
        <c:dLbls>
          <c:showLegendKey val="0"/>
          <c:showVal val="0"/>
          <c:showCatName val="0"/>
          <c:showSerName val="0"/>
          <c:showPercent val="0"/>
          <c:showBubbleSize val="0"/>
          <c:showLeaderLines val="1"/>
        </c:dLbls>
        <c:firstSliceAng val="0"/>
      </c:pie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6087852406427"/>
          <c:y val="0.0518256772673734"/>
          <c:w val="0.512139179323896"/>
          <c:h val="0.815320293443885"/>
        </c:manualLayout>
      </c:layout>
      <c:barChart>
        <c:barDir val="bar"/>
        <c:grouping val="clustered"/>
        <c:varyColors val="0"/>
        <c:ser>
          <c:idx val="0"/>
          <c:order val="0"/>
          <c:spPr>
            <a:solidFill>
              <a:srgbClr val="4F81BD"/>
            </a:solidFill>
            <a:ln w="25400">
              <a:noFill/>
            </a:ln>
          </c:spPr>
          <c:invertIfNegative val="0"/>
          <c:dLbls>
            <c:spPr>
              <a:noFill/>
              <a:ln w="25400">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Workbook25.xlsx!yxmydys之选项</c:f>
              <c:strCache>
                <c:ptCount val="13"/>
                <c:pt idx="0">
                  <c:v>其他</c:v>
                </c:pt>
                <c:pt idx="1">
                  <c:v>上网的便利性</c:v>
                </c:pt>
                <c:pt idx="2">
                  <c:v>校园偏僻交通便利</c:v>
                </c:pt>
                <c:pt idx="3">
                  <c:v>文娱体育设施</c:v>
                </c:pt>
                <c:pt idx="4">
                  <c:v>图书与教学设施</c:v>
                </c:pt>
                <c:pt idx="5">
                  <c:v>住宿条件与管理</c:v>
                </c:pt>
                <c:pt idx="6">
                  <c:v>本专业辅导员的素质</c:v>
                </c:pt>
                <c:pt idx="7">
                  <c:v>师生课外交流</c:v>
                </c:pt>
                <c:pt idx="8">
                  <c:v>食堂服务与饭菜质量</c:v>
                </c:pt>
                <c:pt idx="9">
                  <c:v>学校的规章制度</c:v>
                </c:pt>
                <c:pt idx="10">
                  <c:v>校风学风</c:v>
                </c:pt>
                <c:pt idx="11">
                  <c:v>学校管理人员的办事效率和态度</c:v>
                </c:pt>
                <c:pt idx="12">
                  <c:v>所学知识/能力满足工作实际需求的情况</c:v>
                </c:pt>
              </c:strCache>
            </c:strRef>
          </c:cat>
          <c:val>
            <c:numRef>
              <c:f>Workbook25.xlsx!yxmydys之比例</c:f>
              <c:numCache>
                <c:formatCode>0.00_ </c:formatCode>
                <c:ptCount val="13"/>
                <c:pt idx="0">
                  <c:v>4.86322188449848</c:v>
                </c:pt>
                <c:pt idx="1">
                  <c:v>11.17</c:v>
                </c:pt>
                <c:pt idx="2">
                  <c:v>18.44</c:v>
                </c:pt>
                <c:pt idx="3">
                  <c:v>23.58</c:v>
                </c:pt>
                <c:pt idx="4">
                  <c:v>25.89</c:v>
                </c:pt>
                <c:pt idx="5">
                  <c:v>26.6</c:v>
                </c:pt>
                <c:pt idx="6">
                  <c:v>32.98</c:v>
                </c:pt>
                <c:pt idx="7">
                  <c:v>34.4</c:v>
                </c:pt>
                <c:pt idx="8">
                  <c:v>34.57</c:v>
                </c:pt>
                <c:pt idx="9">
                  <c:v>37.41</c:v>
                </c:pt>
                <c:pt idx="10">
                  <c:v>42.02</c:v>
                </c:pt>
                <c:pt idx="11">
                  <c:v>51.06</c:v>
                </c:pt>
                <c:pt idx="12">
                  <c:v>63.65</c:v>
                </c:pt>
              </c:numCache>
            </c:numRef>
          </c:val>
        </c:ser>
        <c:dLbls>
          <c:showLegendKey val="0"/>
          <c:showVal val="0"/>
          <c:showCatName val="0"/>
          <c:showSerName val="0"/>
          <c:showPercent val="0"/>
          <c:showBubbleSize val="0"/>
        </c:dLbls>
        <c:gapWidth val="100"/>
        <c:axId val="374013424"/>
        <c:axId val="374013984"/>
      </c:barChart>
      <c:catAx>
        <c:axId val="374013424"/>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374013984"/>
        <c:crosses val="autoZero"/>
        <c:auto val="1"/>
        <c:lblAlgn val="ctr"/>
        <c:lblOffset val="100"/>
        <c:noMultiLvlLbl val="0"/>
      </c:catAx>
      <c:valAx>
        <c:axId val="374013984"/>
        <c:scaling>
          <c:orientation val="minMax"/>
        </c:scaling>
        <c:delete val="0"/>
        <c:axPos val="b"/>
        <c:numFmt formatCode="0.00_ " sourceLinked="1"/>
        <c:majorTickMark val="in"/>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374013424"/>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a:solidFill>
            <a:sysClr val="windowText" lastClr="000000"/>
          </a:solidFill>
        </a:defRPr>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c:explosion val="0"/>
          <c:dPt>
            <c:idx val="0"/>
            <c:bubble3D val="0"/>
            <c:spPr>
              <a:solidFill>
                <a:schemeClr val="accent1">
                  <a:shade val="53000"/>
                </a:schemeClr>
              </a:solidFill>
              <a:ln>
                <a:noFill/>
              </a:ln>
              <a:effectLst/>
            </c:spPr>
          </c:dPt>
          <c:dPt>
            <c:idx val="1"/>
            <c:bubble3D val="0"/>
            <c:spPr>
              <a:solidFill>
                <a:schemeClr val="accent1">
                  <a:shade val="76000"/>
                </a:schemeClr>
              </a:solidFill>
              <a:ln>
                <a:noFill/>
              </a:ln>
              <a:effectLst/>
            </c:spPr>
          </c:dPt>
          <c:dPt>
            <c:idx val="2"/>
            <c:bubble3D val="0"/>
            <c:spPr>
              <a:solidFill>
                <a:schemeClr val="accent1"/>
              </a:solidFill>
              <a:ln>
                <a:noFill/>
              </a:ln>
              <a:effectLst/>
            </c:spPr>
          </c:dPt>
          <c:dPt>
            <c:idx val="3"/>
            <c:bubble3D val="0"/>
            <c:spPr>
              <a:solidFill>
                <a:schemeClr val="accent1">
                  <a:tint val="77000"/>
                </a:schemeClr>
              </a:solidFill>
              <a:ln>
                <a:noFill/>
              </a:ln>
              <a:effectLst/>
            </c:spPr>
          </c:dPt>
          <c:dPt>
            <c:idx val="4"/>
            <c:bubble3D val="0"/>
            <c:spPr>
              <a:solidFill>
                <a:schemeClr val="accent1">
                  <a:tint val="54000"/>
                </a:schemeClr>
              </a:solidFill>
              <a:ln>
                <a:noFill/>
              </a:ln>
              <a:effectLst/>
            </c:spPr>
          </c:dPt>
          <c:dLbls>
            <c:dLbl>
              <c:idx val="0"/>
              <c:layout/>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9.95013381142404e-17"/>
                  <c:y val="0.18453188602442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0542740841248304"/>
                  <c:y val="-0.048846675712347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067842605156038"/>
                  <c:y val="0.0047359480336328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178262588275516"/>
                  <c:y val="0.0027137042062415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w="25400">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实际价值!$A$2:$A$6</c:f>
              <c:strCache>
                <c:ptCount val="5"/>
                <c:pt idx="0">
                  <c:v>很大</c:v>
                </c:pt>
                <c:pt idx="1">
                  <c:v>比较大</c:v>
                </c:pt>
                <c:pt idx="2">
                  <c:v>一般</c:v>
                </c:pt>
                <c:pt idx="3">
                  <c:v>比较小</c:v>
                </c:pt>
                <c:pt idx="4">
                  <c:v>很小</c:v>
                </c:pt>
              </c:strCache>
            </c:strRef>
          </c:cat>
          <c:val>
            <c:numRef>
              <c:f>实际价值!$B$2:$B$6</c:f>
              <c:numCache>
                <c:formatCode>0.00_ </c:formatCode>
                <c:ptCount val="5"/>
                <c:pt idx="0">
                  <c:v>7.27</c:v>
                </c:pt>
                <c:pt idx="1">
                  <c:v>23.58</c:v>
                </c:pt>
                <c:pt idx="2">
                  <c:v>37.77</c:v>
                </c:pt>
                <c:pt idx="3">
                  <c:v>18.26</c:v>
                </c:pt>
                <c:pt idx="4">
                  <c:v>13.12</c:v>
                </c:pt>
              </c:numCache>
            </c:numRef>
          </c:val>
        </c:ser>
        <c:dLbls>
          <c:showLegendKey val="0"/>
          <c:showVal val="0"/>
          <c:showCatName val="0"/>
          <c:showSerName val="0"/>
          <c:showPercent val="0"/>
          <c:showBubbleSize val="0"/>
          <c:showLeaderLines val="1"/>
        </c:dLbls>
        <c:firstSliceAng val="0"/>
      </c:pie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c:explosion val="0"/>
          <c:dPt>
            <c:idx val="0"/>
            <c:bubble3D val="0"/>
            <c:spPr>
              <a:solidFill>
                <a:schemeClr val="accent1">
                  <a:shade val="53000"/>
                </a:schemeClr>
              </a:solidFill>
              <a:ln>
                <a:noFill/>
              </a:ln>
              <a:effectLst/>
            </c:spPr>
          </c:dPt>
          <c:dPt>
            <c:idx val="1"/>
            <c:bubble3D val="0"/>
            <c:spPr>
              <a:solidFill>
                <a:schemeClr val="accent1">
                  <a:shade val="76000"/>
                </a:schemeClr>
              </a:solidFill>
              <a:ln>
                <a:noFill/>
              </a:ln>
              <a:effectLst/>
            </c:spPr>
          </c:dPt>
          <c:dPt>
            <c:idx val="2"/>
            <c:bubble3D val="0"/>
            <c:spPr>
              <a:solidFill>
                <a:schemeClr val="accent1"/>
              </a:solidFill>
              <a:ln>
                <a:noFill/>
              </a:ln>
              <a:effectLst/>
            </c:spPr>
          </c:dPt>
          <c:dPt>
            <c:idx val="3"/>
            <c:bubble3D val="0"/>
            <c:spPr>
              <a:solidFill>
                <a:schemeClr val="accent1">
                  <a:tint val="77000"/>
                </a:schemeClr>
              </a:solidFill>
              <a:ln>
                <a:noFill/>
              </a:ln>
              <a:effectLst/>
            </c:spPr>
          </c:dPt>
          <c:dPt>
            <c:idx val="4"/>
            <c:bubble3D val="0"/>
            <c:spPr>
              <a:solidFill>
                <a:schemeClr val="accent1">
                  <a:tint val="54000"/>
                </a:schemeClr>
              </a:solidFill>
              <a:ln>
                <a:noFill/>
              </a:ln>
              <a:effectLst/>
            </c:spPr>
          </c:dPt>
          <c:dLbls>
            <c:dLbl>
              <c:idx val="0"/>
              <c:layout/>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9.95013381142404e-17"/>
                  <c:y val="0.20081411126187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485069444444445"/>
                  <c:y val="0.11171296296296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214797166636395"/>
                  <c:y val="0.0013568521031207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w="25400">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掌握程度!$A$2:$A$6</c:f>
              <c:strCache>
                <c:ptCount val="5"/>
                <c:pt idx="0">
                  <c:v>很好</c:v>
                </c:pt>
                <c:pt idx="1">
                  <c:v>比较好</c:v>
                </c:pt>
                <c:pt idx="2">
                  <c:v>一般</c:v>
                </c:pt>
                <c:pt idx="3">
                  <c:v>比较差</c:v>
                </c:pt>
                <c:pt idx="4">
                  <c:v>很差</c:v>
                </c:pt>
              </c:strCache>
            </c:strRef>
          </c:cat>
          <c:val>
            <c:numRef>
              <c:f>掌握程度!$B$2:$B$6</c:f>
              <c:numCache>
                <c:formatCode>0.00_ </c:formatCode>
                <c:ptCount val="5"/>
                <c:pt idx="0">
                  <c:v>7.98</c:v>
                </c:pt>
                <c:pt idx="1">
                  <c:v>21.45</c:v>
                </c:pt>
                <c:pt idx="2">
                  <c:v>44.5</c:v>
                </c:pt>
                <c:pt idx="3">
                  <c:v>15.78</c:v>
                </c:pt>
                <c:pt idx="4">
                  <c:v>10.28</c:v>
                </c:pt>
              </c:numCache>
            </c:numRef>
          </c:val>
        </c:ser>
        <c:dLbls>
          <c:showLegendKey val="0"/>
          <c:showVal val="0"/>
          <c:showCatName val="0"/>
          <c:showSerName val="0"/>
          <c:showPercent val="0"/>
          <c:showBubbleSize val="0"/>
          <c:showLeaderLines val="1"/>
        </c:dLbls>
        <c:firstSliceAng val="0"/>
      </c:pie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c:explosion val="0"/>
          <c:dPt>
            <c:idx val="0"/>
            <c:bubble3D val="0"/>
            <c:spPr>
              <a:solidFill>
                <a:schemeClr val="accent1">
                  <a:shade val="53000"/>
                </a:schemeClr>
              </a:solidFill>
              <a:ln>
                <a:noFill/>
              </a:ln>
              <a:effectLst/>
            </c:spPr>
          </c:dPt>
          <c:dPt>
            <c:idx val="1"/>
            <c:bubble3D val="0"/>
            <c:spPr>
              <a:solidFill>
                <a:schemeClr val="accent1">
                  <a:shade val="76000"/>
                </a:schemeClr>
              </a:solidFill>
              <a:ln>
                <a:noFill/>
              </a:ln>
              <a:effectLst/>
            </c:spPr>
          </c:dPt>
          <c:dPt>
            <c:idx val="2"/>
            <c:bubble3D val="0"/>
            <c:spPr>
              <a:solidFill>
                <a:schemeClr val="accent1"/>
              </a:solidFill>
              <a:ln>
                <a:noFill/>
              </a:ln>
              <a:effectLst/>
            </c:spPr>
          </c:dPt>
          <c:dPt>
            <c:idx val="3"/>
            <c:bubble3D val="0"/>
            <c:spPr>
              <a:solidFill>
                <a:schemeClr val="accent1">
                  <a:tint val="77000"/>
                </a:schemeClr>
              </a:solidFill>
              <a:ln>
                <a:noFill/>
              </a:ln>
              <a:effectLst/>
            </c:spPr>
          </c:dPt>
          <c:dPt>
            <c:idx val="4"/>
            <c:bubble3D val="0"/>
            <c:spPr>
              <a:solidFill>
                <a:schemeClr val="accent1">
                  <a:tint val="54000"/>
                </a:schemeClr>
              </a:solidFill>
              <a:ln>
                <a:noFill/>
              </a:ln>
              <a:effectLst/>
            </c:spPr>
          </c:dPt>
          <c:dLbls>
            <c:dLbl>
              <c:idx val="0"/>
              <c:layout/>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0.0587184286390431"/>
                  <c:y val="0.012417218543046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19288326664085"/>
                  <c:y val="0.0013796909492273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w="25400">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教学实践评价!$A$2:$A$6</c:f>
              <c:strCache>
                <c:ptCount val="5"/>
                <c:pt idx="0">
                  <c:v>很好</c:v>
                </c:pt>
                <c:pt idx="1">
                  <c:v>比较好</c:v>
                </c:pt>
                <c:pt idx="2">
                  <c:v>一般</c:v>
                </c:pt>
                <c:pt idx="3">
                  <c:v>比较差</c:v>
                </c:pt>
                <c:pt idx="4">
                  <c:v>很差</c:v>
                </c:pt>
              </c:strCache>
            </c:strRef>
          </c:cat>
          <c:val>
            <c:numRef>
              <c:f>教学实践评价!$B$2:$B$6</c:f>
              <c:numCache>
                <c:formatCode>0.00_ </c:formatCode>
                <c:ptCount val="5"/>
                <c:pt idx="0">
                  <c:v>7.27</c:v>
                </c:pt>
                <c:pt idx="1">
                  <c:v>24.47</c:v>
                </c:pt>
                <c:pt idx="2">
                  <c:v>41.49</c:v>
                </c:pt>
                <c:pt idx="3">
                  <c:v>14.01</c:v>
                </c:pt>
                <c:pt idx="4">
                  <c:v>12.77</c:v>
                </c:pt>
              </c:numCache>
            </c:numRef>
          </c:val>
        </c:ser>
        <c:dLbls>
          <c:showLegendKey val="0"/>
          <c:showVal val="0"/>
          <c:showCatName val="0"/>
          <c:showSerName val="0"/>
          <c:showPercent val="0"/>
          <c:showBubbleSize val="0"/>
          <c:showLeaderLines val="1"/>
        </c:dLbls>
        <c:firstSliceAng val="0"/>
      </c:pie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solidFill>
            <a:sysClr val="windowText" lastClr="000000"/>
          </a:solidFill>
        </a:defRPr>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c:explosion val="0"/>
          <c:dPt>
            <c:idx val="0"/>
            <c:bubble3D val="0"/>
            <c:spPr>
              <a:solidFill>
                <a:schemeClr val="accent1">
                  <a:shade val="53000"/>
                </a:schemeClr>
              </a:solidFill>
              <a:ln>
                <a:noFill/>
              </a:ln>
              <a:effectLst/>
            </c:spPr>
          </c:dPt>
          <c:dPt>
            <c:idx val="1"/>
            <c:bubble3D val="0"/>
            <c:spPr>
              <a:solidFill>
                <a:schemeClr val="accent1">
                  <a:shade val="76000"/>
                </a:schemeClr>
              </a:solidFill>
              <a:ln>
                <a:noFill/>
              </a:ln>
              <a:effectLst/>
            </c:spPr>
          </c:dPt>
          <c:dPt>
            <c:idx val="2"/>
            <c:bubble3D val="0"/>
            <c:spPr>
              <a:solidFill>
                <a:schemeClr val="accent1"/>
              </a:solidFill>
              <a:ln>
                <a:noFill/>
              </a:ln>
              <a:effectLst/>
            </c:spPr>
          </c:dPt>
          <c:dPt>
            <c:idx val="3"/>
            <c:bubble3D val="0"/>
            <c:spPr>
              <a:solidFill>
                <a:schemeClr val="accent1">
                  <a:tint val="77000"/>
                </a:schemeClr>
              </a:solidFill>
              <a:ln>
                <a:noFill/>
              </a:ln>
              <a:effectLst/>
            </c:spPr>
          </c:dPt>
          <c:dPt>
            <c:idx val="4"/>
            <c:bubble3D val="0"/>
            <c:spPr>
              <a:solidFill>
                <a:schemeClr val="accent1">
                  <a:tint val="54000"/>
                </a:schemeClr>
              </a:solidFill>
              <a:ln>
                <a:noFill/>
              </a:ln>
              <a:effectLst/>
            </c:spPr>
          </c:dPt>
          <c:dLbls>
            <c:dLbl>
              <c:idx val="0"/>
              <c:layout>
                <c:manualLayout>
                  <c:x val="0.0388468303127629"/>
                  <c:y val="0.19990740740740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874053682037164"/>
                  <c:y val="-0.1587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0242792689454768"/>
                  <c:y val="0.21166666666666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321651391936664"/>
                  <c:y val="0.00216535433070866"/>
                </c:manualLayout>
              </c:layout>
              <c:numFmt formatCode="0.00%" sourceLinked="0"/>
              <c:spPr>
                <a:noFill/>
                <a:ln w="25400">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704098799418826"/>
                  <c:y val="0.0058796296296296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w="25400">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教师满意度!$A$2:$A$6</c:f>
              <c:strCache>
                <c:ptCount val="5"/>
                <c:pt idx="0">
                  <c:v>很满意</c:v>
                </c:pt>
                <c:pt idx="1">
                  <c:v>比较满意</c:v>
                </c:pt>
                <c:pt idx="2">
                  <c:v>一般</c:v>
                </c:pt>
                <c:pt idx="3">
                  <c:v>比较不满意</c:v>
                </c:pt>
                <c:pt idx="4">
                  <c:v>很不满意</c:v>
                </c:pt>
              </c:strCache>
            </c:strRef>
          </c:cat>
          <c:val>
            <c:numRef>
              <c:f>教师满意度!$B$2:$B$6</c:f>
              <c:numCache>
                <c:formatCode>0.00_ </c:formatCode>
                <c:ptCount val="5"/>
                <c:pt idx="0">
                  <c:v>27.3</c:v>
                </c:pt>
                <c:pt idx="1">
                  <c:v>49.65</c:v>
                </c:pt>
                <c:pt idx="2">
                  <c:v>20.92</c:v>
                </c:pt>
                <c:pt idx="3">
                  <c:v>1.42</c:v>
                </c:pt>
                <c:pt idx="4">
                  <c:v>0.71</c:v>
                </c:pt>
              </c:numCache>
            </c:numRef>
          </c:val>
        </c:ser>
        <c:dLbls>
          <c:showLegendKey val="0"/>
          <c:showVal val="0"/>
          <c:showCatName val="0"/>
          <c:showSerName val="0"/>
          <c:showPercent val="0"/>
          <c:showBubbleSize val="0"/>
          <c:showLeaderLines val="1"/>
        </c:dLbls>
        <c:firstSliceAng val="0"/>
      </c:pie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教师注重课外沟通交流</c:v>
                </c:pt>
                <c:pt idx="1">
                  <c:v>教师教学生动注重互动</c:v>
                </c:pt>
                <c:pt idx="2">
                  <c:v>教师教学内容与时俱进</c:v>
                </c:pt>
                <c:pt idx="3">
                  <c:v>教师教学态度认真负责</c:v>
                </c:pt>
              </c:strCache>
            </c:strRef>
          </c:cat>
          <c:val>
            <c:numRef>
              <c:f>Sheet1!$B$2:$B$5</c:f>
              <c:numCache>
                <c:formatCode>General</c:formatCode>
                <c:ptCount val="4"/>
                <c:pt idx="0">
                  <c:v>90.95</c:v>
                </c:pt>
                <c:pt idx="1">
                  <c:v>93.44</c:v>
                </c:pt>
                <c:pt idx="2">
                  <c:v>93.97</c:v>
                </c:pt>
                <c:pt idx="3">
                  <c:v>95.39</c:v>
                </c:pt>
              </c:numCache>
            </c:numRef>
          </c:val>
        </c:ser>
        <c:dLbls>
          <c:showLegendKey val="0"/>
          <c:showVal val="1"/>
          <c:showCatName val="0"/>
          <c:showSerName val="0"/>
          <c:showPercent val="0"/>
          <c:showBubbleSize val="0"/>
        </c:dLbls>
        <c:gapWidth val="182"/>
        <c:overlap val="0"/>
        <c:axId val="93010388"/>
        <c:axId val="944772293"/>
      </c:barChart>
      <c:catAx>
        <c:axId val="93010388"/>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44772293"/>
        <c:crosses val="autoZero"/>
        <c:auto val="1"/>
        <c:lblAlgn val="ctr"/>
        <c:lblOffset val="100"/>
        <c:noMultiLvlLbl val="0"/>
      </c:catAx>
      <c:valAx>
        <c:axId val="94477229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30103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外语能力</c:v>
                </c:pt>
                <c:pt idx="1">
                  <c:v>专业能力</c:v>
                </c:pt>
                <c:pt idx="2">
                  <c:v>创新能力</c:v>
                </c:pt>
                <c:pt idx="3">
                  <c:v>计算机应用能力</c:v>
                </c:pt>
                <c:pt idx="4">
                  <c:v>时间管理能力</c:v>
                </c:pt>
                <c:pt idx="5">
                  <c:v>问题解决能力</c:v>
                </c:pt>
                <c:pt idx="6">
                  <c:v>信息收集能力</c:v>
                </c:pt>
                <c:pt idx="7">
                  <c:v>领导能力</c:v>
                </c:pt>
                <c:pt idx="8">
                  <c:v>分析能力</c:v>
                </c:pt>
                <c:pt idx="9">
                  <c:v>口头表达能力</c:v>
                </c:pt>
                <c:pt idx="10">
                  <c:v>情绪管理能力</c:v>
                </c:pt>
                <c:pt idx="11">
                  <c:v>组织与协调能力</c:v>
                </c:pt>
                <c:pt idx="12">
                  <c:v>书面表达能力</c:v>
                </c:pt>
                <c:pt idx="13">
                  <c:v>动手能力</c:v>
                </c:pt>
                <c:pt idx="14">
                  <c:v>团队协作能力</c:v>
                </c:pt>
                <c:pt idx="15">
                  <c:v>自学能力</c:v>
                </c:pt>
                <c:pt idx="16">
                  <c:v>人际沟通能力</c:v>
                </c:pt>
                <c:pt idx="17">
                  <c:v>实干与执行能力</c:v>
                </c:pt>
              </c:strCache>
            </c:strRef>
          </c:cat>
          <c:val>
            <c:numRef>
              <c:f>Sheet1!$B$2:$B$19</c:f>
              <c:numCache>
                <c:formatCode>0.00_ </c:formatCode>
                <c:ptCount val="18"/>
                <c:pt idx="0">
                  <c:v>75.7</c:v>
                </c:pt>
                <c:pt idx="1">
                  <c:v>82.63</c:v>
                </c:pt>
                <c:pt idx="2">
                  <c:v>90.07</c:v>
                </c:pt>
                <c:pt idx="3">
                  <c:v>90.07</c:v>
                </c:pt>
                <c:pt idx="4">
                  <c:v>92.74</c:v>
                </c:pt>
                <c:pt idx="5">
                  <c:v>93.97</c:v>
                </c:pt>
                <c:pt idx="6">
                  <c:v>94.14</c:v>
                </c:pt>
                <c:pt idx="7">
                  <c:v>94.15</c:v>
                </c:pt>
                <c:pt idx="8">
                  <c:v>95.39</c:v>
                </c:pt>
                <c:pt idx="9">
                  <c:v>95.39</c:v>
                </c:pt>
                <c:pt idx="10">
                  <c:v>95.57</c:v>
                </c:pt>
                <c:pt idx="11">
                  <c:v>95.57</c:v>
                </c:pt>
                <c:pt idx="12">
                  <c:v>95.74</c:v>
                </c:pt>
                <c:pt idx="13">
                  <c:v>95.75</c:v>
                </c:pt>
                <c:pt idx="14">
                  <c:v>95.75</c:v>
                </c:pt>
                <c:pt idx="15">
                  <c:v>95.92</c:v>
                </c:pt>
                <c:pt idx="16">
                  <c:v>96.1</c:v>
                </c:pt>
                <c:pt idx="17">
                  <c:v>96.27</c:v>
                </c:pt>
              </c:numCache>
            </c:numRef>
          </c:val>
        </c:ser>
        <c:dLbls>
          <c:showLegendKey val="0"/>
          <c:showVal val="1"/>
          <c:showCatName val="0"/>
          <c:showSerName val="0"/>
          <c:showPercent val="0"/>
          <c:showBubbleSize val="0"/>
        </c:dLbls>
        <c:gapWidth val="182"/>
        <c:overlap val="0"/>
        <c:axId val="214605614"/>
        <c:axId val="306915537"/>
      </c:barChart>
      <c:catAx>
        <c:axId val="214605614"/>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306915537"/>
        <c:crosses val="autoZero"/>
        <c:auto val="1"/>
        <c:lblAlgn val="ctr"/>
        <c:lblOffset val="100"/>
        <c:noMultiLvlLbl val="0"/>
      </c:catAx>
      <c:valAx>
        <c:axId val="306915537"/>
        <c:scaling>
          <c:orientation val="minMax"/>
        </c:scaling>
        <c:delete val="0"/>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1460561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Sheet1!$A$2:$A$7</c:f>
              <c:strCache>
                <c:ptCount val="6"/>
                <c:pt idx="0">
                  <c:v>在准备国内公务员或其他考试</c:v>
                </c:pt>
                <c:pt idx="1">
                  <c:v>在准备出国</c:v>
                </c:pt>
                <c:pt idx="2">
                  <c:v>在准备职业资格考试或参加学习培训</c:v>
                </c:pt>
                <c:pt idx="3">
                  <c:v>自愿选择暂不就业</c:v>
                </c:pt>
                <c:pt idx="4">
                  <c:v>找不到工作</c:v>
                </c:pt>
                <c:pt idx="5">
                  <c:v>没有找到满意的工作</c:v>
                </c:pt>
              </c:strCache>
            </c:strRef>
          </c:cat>
          <c:val>
            <c:numRef>
              <c:f>Sheet1!$B$2:$B$7</c:f>
              <c:numCache>
                <c:formatCode>General</c:formatCode>
                <c:ptCount val="6"/>
                <c:pt idx="0">
                  <c:v>2.63</c:v>
                </c:pt>
                <c:pt idx="1">
                  <c:v>5.26</c:v>
                </c:pt>
                <c:pt idx="2">
                  <c:v>7.89</c:v>
                </c:pt>
                <c:pt idx="3">
                  <c:v>18.42</c:v>
                </c:pt>
                <c:pt idx="4">
                  <c:v>26.32</c:v>
                </c:pt>
                <c:pt idx="5">
                  <c:v>39.48</c:v>
                </c:pt>
              </c:numCache>
            </c:numRef>
          </c:val>
        </c:ser>
        <c:dLbls>
          <c:showLegendKey val="0"/>
          <c:showVal val="1"/>
          <c:showCatName val="0"/>
          <c:showSerName val="0"/>
          <c:showPercent val="0"/>
          <c:showBubbleSize val="0"/>
        </c:dLbls>
        <c:gapWidth val="227"/>
        <c:overlap val="-48"/>
        <c:axId val="369436820"/>
        <c:axId val="667164381"/>
      </c:barChart>
      <c:catAx>
        <c:axId val="369436820"/>
        <c:scaling>
          <c:orientation val="minMax"/>
        </c:scaling>
        <c:delete val="0"/>
        <c:axPos val="l"/>
        <c:majorTickMark val="none"/>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67164381"/>
        <c:crosses val="autoZero"/>
        <c:auto val="1"/>
        <c:lblAlgn val="ctr"/>
        <c:lblOffset val="100"/>
        <c:noMultiLvlLbl val="0"/>
      </c:catAx>
      <c:valAx>
        <c:axId val="667164381"/>
        <c:scaling>
          <c:orientation val="minMax"/>
        </c:scaling>
        <c:delete val="0"/>
        <c:axPos val="b"/>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3694368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市内外就业比例</c:v>
                </c:pt>
              </c:strCache>
            </c:strRef>
          </c:tx>
          <c:spPr/>
          <c:explosion val="0"/>
          <c:dPt>
            <c:idx val="0"/>
            <c:bubble3D val="0"/>
            <c:spPr>
              <a:solidFill>
                <a:schemeClr val="accent1">
                  <a:shade val="76667"/>
                </a:schemeClr>
              </a:solidFill>
              <a:ln>
                <a:noFill/>
              </a:ln>
              <a:effectLst/>
            </c:spPr>
          </c:dPt>
          <c:dPt>
            <c:idx val="1"/>
            <c:bubble3D val="0"/>
            <c:spPr>
              <a:solidFill>
                <a:schemeClr val="accent1">
                  <a:tint val="76667"/>
                </a:schemeClr>
              </a:solidFill>
              <a:ln>
                <a:noFill/>
              </a:ln>
              <a:effectLst/>
            </c:spPr>
          </c:dPt>
          <c:dLbls>
            <c:dLbl>
              <c:idx val="0"/>
              <c:layout/>
              <c:tx>
                <c:rich>
                  <a:bodyPr rot="0" spcFirstLastPara="0" vertOverflow="ellipsis" vert="horz" wrap="square" lIns="38100" tIns="19050" rIns="38100" bIns="19050" anchor="ctr" anchorCtr="1"/>
                  <a:lstStyle/>
                  <a:p>
                    <a:pPr defTabSz="914400">
                      <a:defRPr lang="zh-CN" sz="900" b="1" i="0" u="none" strike="noStrike" kern="1200" baseline="0">
                        <a:solidFill>
                          <a:sysClr val="windowText" lastClr="000000"/>
                        </a:solidFill>
                        <a:latin typeface="+mn-lt"/>
                        <a:ea typeface="+mn-ea"/>
                        <a:cs typeface="+mn-cs"/>
                      </a:defRPr>
                    </a:pPr>
                    <a:r>
                      <a:rPr>
                        <a:solidFill>
                          <a:sysClr val="windowText" lastClr="000000"/>
                        </a:solidFill>
                      </a:rPr>
                      <a:t>61</a:t>
                    </a:r>
                    <a:r>
                      <a:rPr lang="en-US" altLang="zh-CN">
                        <a:solidFill>
                          <a:sysClr val="windowText" lastClr="000000"/>
                        </a:solidFill>
                      </a:rPr>
                      <a:t>.92</a:t>
                    </a:r>
                    <a:r>
                      <a:rPr>
                        <a:solidFill>
                          <a:sysClr val="windowText" lastClr="000000"/>
                        </a:solidFill>
                      </a:rPr>
                      <a:t>%</a:t>
                    </a:r>
                    <a:endParaRPr>
                      <a:solidFill>
                        <a:sysClr val="windowText" lastClr="000000"/>
                      </a:solidFill>
                    </a:endParaRPr>
                  </a:p>
                </c:rich>
              </c:tx>
              <c:dLblPos val="inEnd"/>
              <c:showLegendKey val="0"/>
              <c:showVal val="0"/>
              <c:showCatName val="0"/>
              <c:showSerName val="0"/>
              <c:showPercent val="1"/>
              <c:showBubbleSize val="0"/>
              <c:extLst>
                <c:ext xmlns:c15="http://schemas.microsoft.com/office/drawing/2012/chart" uri="{CE6537A1-D6FC-4f65-9D91-7224C49458BB}">
                  <c15:layout>
                    <c:manualLayout>
                      <c:w val="0.232296492389146"/>
                      <c:h val="0.163210900473934"/>
                    </c:manualLayout>
                  </c15:layout>
                </c:ext>
              </c:extLst>
            </c:dLbl>
            <c:dLbl>
              <c:idx val="1"/>
              <c:layout/>
              <c:tx>
                <c:rich>
                  <a:bodyPr rot="0" spcFirstLastPara="0" vertOverflow="ellipsis" vert="horz" wrap="square" lIns="38100" tIns="19050" rIns="38100" bIns="19050" anchor="ctr" anchorCtr="1"/>
                  <a:lstStyle/>
                  <a:p>
                    <a:pPr defTabSz="914400">
                      <a:defRPr lang="zh-CN" sz="900" b="1" i="0" u="none" strike="noStrike" kern="1200" baseline="0">
                        <a:solidFill>
                          <a:sysClr val="windowText" lastClr="000000"/>
                        </a:solidFill>
                        <a:latin typeface="+mn-lt"/>
                        <a:ea typeface="+mn-ea"/>
                        <a:cs typeface="+mn-cs"/>
                      </a:defRPr>
                    </a:pPr>
                    <a:r>
                      <a:rPr>
                        <a:solidFill>
                          <a:sysClr val="windowText" lastClr="000000"/>
                        </a:solidFill>
                      </a:rPr>
                      <a:t>3</a:t>
                    </a:r>
                    <a:r>
                      <a:rPr lang="en-US" altLang="zh-CN">
                        <a:solidFill>
                          <a:sysClr val="windowText" lastClr="000000"/>
                        </a:solidFill>
                      </a:rPr>
                      <a:t>8.08</a:t>
                    </a:r>
                    <a:r>
                      <a:rPr>
                        <a:solidFill>
                          <a:sysClr val="windowText" lastClr="000000"/>
                        </a:solidFill>
                      </a:rPr>
                      <a:t>%</a:t>
                    </a:r>
                    <a:endParaRPr>
                      <a:solidFill>
                        <a:sysClr val="windowText" lastClr="000000"/>
                      </a:solidFill>
                    </a:endParaRPr>
                  </a:p>
                </c:rich>
              </c:tx>
              <c:dLblPos val="inEnd"/>
              <c:showLegendKey val="0"/>
              <c:showVal val="0"/>
              <c:showCatName val="0"/>
              <c:showSerName val="0"/>
              <c:showPercent val="1"/>
              <c:showBubbleSize val="0"/>
              <c:extLst>
                <c:ext xmlns:c15="http://schemas.microsoft.com/office/drawing/2012/chart" uri="{CE6537A1-D6FC-4f65-9D91-7224C49458BB}">
                  <c15:layout>
                    <c:manualLayout>
                      <c:w val="0.273990734612839"/>
                      <c:h val="0.146327014218009"/>
                    </c:manualLayout>
                  </c15:layout>
                </c:ext>
              </c:extLst>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ysClr val="windowText" lastClr="000000"/>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市内就业</c:v>
                </c:pt>
                <c:pt idx="1">
                  <c:v>市外就业</c:v>
                </c:pt>
              </c:strCache>
            </c:strRef>
          </c:cat>
          <c:val>
            <c:numRef>
              <c:f>Sheet1!$B$2:$B$3</c:f>
              <c:numCache>
                <c:formatCode>General</c:formatCode>
                <c:ptCount val="2"/>
                <c:pt idx="0">
                  <c:v>60.99</c:v>
                </c:pt>
                <c:pt idx="1">
                  <c:v>39.01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市内就业流向表!$B$1</c:f>
              <c:strCache>
                <c:ptCount val="1"/>
                <c:pt idx="0">
                  <c:v>市内就业流向</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市内就业流向表!$A$2:$A$9</c:f>
              <c:strCache>
                <c:ptCount val="8"/>
                <c:pt idx="0">
                  <c:v>巴南区</c:v>
                </c:pt>
                <c:pt idx="1">
                  <c:v>沙坪坝区</c:v>
                </c:pt>
                <c:pt idx="2">
                  <c:v>江津区</c:v>
                </c:pt>
                <c:pt idx="3">
                  <c:v>渝中区</c:v>
                </c:pt>
                <c:pt idx="4">
                  <c:v>南岸区</c:v>
                </c:pt>
                <c:pt idx="5">
                  <c:v>九龙坡区</c:v>
                </c:pt>
                <c:pt idx="6">
                  <c:v>江北区</c:v>
                </c:pt>
                <c:pt idx="7">
                  <c:v>渝北区</c:v>
                </c:pt>
              </c:strCache>
            </c:strRef>
          </c:cat>
          <c:val>
            <c:numRef>
              <c:f>市内就业流向表!$B$2:$B$9</c:f>
              <c:numCache>
                <c:formatCode>General</c:formatCode>
                <c:ptCount val="8"/>
                <c:pt idx="0">
                  <c:v>3.08</c:v>
                </c:pt>
                <c:pt idx="1">
                  <c:v>4.25</c:v>
                </c:pt>
                <c:pt idx="2">
                  <c:v>4.97</c:v>
                </c:pt>
                <c:pt idx="3">
                  <c:v>5.04</c:v>
                </c:pt>
                <c:pt idx="4">
                  <c:v>8.44</c:v>
                </c:pt>
                <c:pt idx="5">
                  <c:v>10.8</c:v>
                </c:pt>
                <c:pt idx="6">
                  <c:v>11.32</c:v>
                </c:pt>
                <c:pt idx="7">
                  <c:v>18.72</c:v>
                </c:pt>
              </c:numCache>
            </c:numRef>
          </c:val>
        </c:ser>
        <c:dLbls>
          <c:showLegendKey val="0"/>
          <c:showVal val="1"/>
          <c:showCatName val="0"/>
          <c:showSerName val="0"/>
          <c:showPercent val="0"/>
          <c:showBubbleSize val="0"/>
        </c:dLbls>
        <c:gapWidth val="100"/>
        <c:overlap val="0"/>
        <c:axId val="702211099"/>
        <c:axId val="553573113"/>
      </c:barChart>
      <c:catAx>
        <c:axId val="702211099"/>
        <c:scaling>
          <c:orientation val="minMax"/>
        </c:scaling>
        <c:delete val="0"/>
        <c:axPos val="l"/>
        <c:majorTickMark val="none"/>
        <c:minorTickMark val="none"/>
        <c:tickLblPos val="nextTo"/>
        <c:spPr>
          <a:noFill/>
          <a:ln w="9525" cap="flat" cmpd="sng" algn="ctr">
            <a:solidFill>
              <a:schemeClr val="tx2">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553573113"/>
        <c:crosses val="autoZero"/>
        <c:auto val="1"/>
        <c:lblAlgn val="ctr"/>
        <c:lblOffset val="100"/>
        <c:noMultiLvlLbl val="0"/>
      </c:catAx>
      <c:valAx>
        <c:axId val="553573113"/>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02211099"/>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all" spc="50" baseline="0">
                <a:solidFill>
                  <a:sysClr val="windowText" lastClr="000000"/>
                </a:solidFill>
                <a:latin typeface="+mn-lt"/>
                <a:ea typeface="+mn-ea"/>
                <a:cs typeface="+mn-cs"/>
              </a:defRPr>
            </a:pPr>
            <a:r>
              <a:rPr b="0">
                <a:solidFill>
                  <a:sysClr val="windowText" lastClr="000000"/>
                </a:solidFill>
              </a:rPr>
              <a:t>市内</a:t>
            </a:r>
            <a:endParaRPr b="0">
              <a:solidFill>
                <a:sysClr val="windowText" lastClr="000000"/>
              </a:solidFill>
            </a:endParaRPr>
          </a:p>
          <a:p>
            <a:pPr defTabSz="914400">
              <a:defRPr lang="zh-CN" sz="1400" b="0" i="0" u="none" strike="noStrike" kern="1200" cap="all" spc="50" baseline="0">
                <a:solidFill>
                  <a:sysClr val="windowText" lastClr="000000"/>
                </a:solidFill>
                <a:latin typeface="+mn-lt"/>
                <a:ea typeface="+mn-ea"/>
                <a:cs typeface="+mn-cs"/>
              </a:defRPr>
            </a:pPr>
            <a:r>
              <a:rPr b="0">
                <a:solidFill>
                  <a:sysClr val="windowText" lastClr="000000"/>
                </a:solidFill>
              </a:rPr>
              <a:t>生源</a:t>
            </a:r>
            <a:endParaRPr b="0">
              <a:solidFill>
                <a:sysClr val="windowText" lastClr="000000"/>
              </a:solidFill>
            </a:endParaRPr>
          </a:p>
        </c:rich>
      </c:tx>
      <c:layout>
        <c:manualLayout>
          <c:xMode val="edge"/>
          <c:yMode val="edge"/>
          <c:x val="0.396946564885496"/>
          <c:y val="0.386230058774139"/>
        </c:manualLayout>
      </c:layout>
      <c:overlay val="1"/>
      <c:spPr>
        <a:noFill/>
        <a:ln>
          <a:noFill/>
        </a:ln>
        <a:effectLst/>
      </c:spPr>
    </c:title>
    <c:autoTitleDeleted val="0"/>
    <c:plotArea>
      <c:layout/>
      <c:doughnutChart>
        <c:varyColors val="1"/>
        <c:ser>
          <c:idx val="0"/>
          <c:order val="0"/>
          <c:tx>
            <c:strRef>
              <c:f>市内生源就业统计!$B$1</c:f>
              <c:strCache>
                <c:ptCount val="1"/>
                <c:pt idx="0">
                  <c:v>市内生源</c:v>
                </c:pt>
              </c:strCache>
            </c:strRef>
          </c:tx>
          <c:spPr>
            <a:ln>
              <a:solidFill>
                <a:schemeClr val="bg1"/>
              </a:solidFill>
            </a:ln>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市内生源就业统计!$A$2:$A$3</c:f>
              <c:strCache>
                <c:ptCount val="2"/>
                <c:pt idx="0">
                  <c:v>市内就业</c:v>
                </c:pt>
                <c:pt idx="1">
                  <c:v>市外就业</c:v>
                </c:pt>
              </c:strCache>
            </c:strRef>
          </c:cat>
          <c:val>
            <c:numRef>
              <c:f>市内生源就业统计!$B$2:$B$3</c:f>
              <c:numCache>
                <c:formatCode>General</c:formatCode>
                <c:ptCount val="2"/>
                <c:pt idx="0">
                  <c:v>71.92</c:v>
                </c:pt>
                <c:pt idx="1">
                  <c:v>28.08</c:v>
                </c:pt>
              </c:numCache>
            </c:numRef>
          </c:val>
        </c:ser>
        <c:dLbls>
          <c:showLegendKey val="0"/>
          <c:showVal val="0"/>
          <c:showCatName val="0"/>
          <c:showSerName val="0"/>
          <c:showPercent val="1"/>
          <c:showBubbleSize val="0"/>
          <c:showLeaderLines val="1"/>
        </c:dLbls>
        <c:firstSliceAng val="4"/>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all" spc="50" baseline="0">
                <a:solidFill>
                  <a:sysClr val="windowText" lastClr="000000"/>
                </a:solidFill>
                <a:latin typeface="+mn-lt"/>
                <a:ea typeface="+mn-ea"/>
                <a:cs typeface="+mn-cs"/>
              </a:defRPr>
            </a:pPr>
            <a:r>
              <a:rPr b="0">
                <a:solidFill>
                  <a:sysClr val="windowText" lastClr="000000"/>
                </a:solidFill>
              </a:rPr>
              <a:t>市外</a:t>
            </a:r>
            <a:endParaRPr b="0">
              <a:solidFill>
                <a:sysClr val="windowText" lastClr="000000"/>
              </a:solidFill>
            </a:endParaRPr>
          </a:p>
          <a:p>
            <a:pPr defTabSz="914400">
              <a:defRPr lang="zh-CN" sz="1400" b="0" i="0" u="none" strike="noStrike" kern="1200" cap="all" spc="50" baseline="0">
                <a:solidFill>
                  <a:sysClr val="windowText" lastClr="000000"/>
                </a:solidFill>
                <a:latin typeface="+mn-lt"/>
                <a:ea typeface="+mn-ea"/>
                <a:cs typeface="+mn-cs"/>
              </a:defRPr>
            </a:pPr>
            <a:r>
              <a:rPr b="0">
                <a:solidFill>
                  <a:sysClr val="windowText" lastClr="000000"/>
                </a:solidFill>
              </a:rPr>
              <a:t>生源</a:t>
            </a:r>
            <a:endParaRPr b="0">
              <a:solidFill>
                <a:sysClr val="windowText" lastClr="000000"/>
              </a:solidFill>
            </a:endParaRPr>
          </a:p>
        </c:rich>
      </c:tx>
      <c:layout>
        <c:manualLayout>
          <c:xMode val="edge"/>
          <c:yMode val="edge"/>
          <c:x val="0.442479556693748"/>
          <c:y val="0.501816638370119"/>
        </c:manualLayout>
      </c:layout>
      <c:overlay val="0"/>
      <c:spPr>
        <a:noFill/>
        <a:ln>
          <a:noFill/>
        </a:ln>
        <a:effectLst/>
      </c:spPr>
    </c:title>
    <c:autoTitleDeleted val="0"/>
    <c:plotArea>
      <c:layout/>
      <c:doughnutChart>
        <c:varyColors val="1"/>
        <c:ser>
          <c:idx val="0"/>
          <c:order val="0"/>
          <c:tx>
            <c:strRef>
              <c:f>Sheet1!$B$1</c:f>
              <c:strCache>
                <c:ptCount val="1"/>
                <c:pt idx="0">
                  <c:v>市外生源</c:v>
                </c:pt>
              </c:strCache>
            </c:strRef>
          </c:tx>
          <c:spPr/>
          <c:explosion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Lbls>
            <c:dLbl>
              <c:idx val="0"/>
              <c:layout>
                <c:manualLayout>
                  <c:x val="0.00264924055104203"/>
                  <c:y val="-0.0732173174872666"/>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本市就业</c:v>
                </c:pt>
                <c:pt idx="1">
                  <c:v>其他省市就业</c:v>
                </c:pt>
                <c:pt idx="2">
                  <c:v>回生源地就业</c:v>
                </c:pt>
              </c:strCache>
            </c:strRef>
          </c:cat>
          <c:val>
            <c:numRef>
              <c:f>Sheet1!$B$2:$B$4</c:f>
              <c:numCache>
                <c:formatCode>General</c:formatCode>
                <c:ptCount val="3"/>
                <c:pt idx="0">
                  <c:v>33.52</c:v>
                </c:pt>
                <c:pt idx="1">
                  <c:v>27.05</c:v>
                </c:pt>
                <c:pt idx="2">
                  <c:v>39.43</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b="0">
          <a:solidFill>
            <a:sysClr val="windowText" lastClr="000000"/>
          </a:solidFill>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就业单位流向</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医疗卫生</c:v>
                </c:pt>
                <c:pt idx="1">
                  <c:v>中初教育</c:v>
                </c:pt>
                <c:pt idx="2">
                  <c:v>城镇社区</c:v>
                </c:pt>
                <c:pt idx="3">
                  <c:v>机关</c:v>
                </c:pt>
                <c:pt idx="4">
                  <c:v>部队</c:v>
                </c:pt>
                <c:pt idx="5">
                  <c:v>其他事业单位</c:v>
                </c:pt>
                <c:pt idx="6">
                  <c:v>国有企业</c:v>
                </c:pt>
                <c:pt idx="7">
                  <c:v>其他企业</c:v>
                </c:pt>
              </c:strCache>
            </c:strRef>
          </c:cat>
          <c:val>
            <c:numRef>
              <c:f>Sheet1!$B$2:$B$9</c:f>
              <c:numCache>
                <c:formatCode>General</c:formatCode>
                <c:ptCount val="8"/>
                <c:pt idx="0">
                  <c:v>0.04</c:v>
                </c:pt>
                <c:pt idx="1">
                  <c:v>0.08</c:v>
                </c:pt>
                <c:pt idx="2">
                  <c:v>0.12</c:v>
                </c:pt>
                <c:pt idx="3">
                  <c:v>0.35</c:v>
                </c:pt>
                <c:pt idx="4">
                  <c:v>0.82</c:v>
                </c:pt>
                <c:pt idx="5">
                  <c:v>0.86</c:v>
                </c:pt>
                <c:pt idx="6">
                  <c:v>42.23</c:v>
                </c:pt>
                <c:pt idx="7">
                  <c:v>55.5</c:v>
                </c:pt>
              </c:numCache>
            </c:numRef>
          </c:val>
        </c:ser>
        <c:dLbls>
          <c:showLegendKey val="0"/>
          <c:showVal val="1"/>
          <c:showCatName val="0"/>
          <c:showSerName val="0"/>
          <c:showPercent val="0"/>
          <c:showBubbleSize val="0"/>
        </c:dLbls>
        <c:gapWidth val="182"/>
        <c:overlap val="0"/>
        <c:axId val="237339873"/>
        <c:axId val="641395634"/>
      </c:barChart>
      <c:catAx>
        <c:axId val="237339873"/>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41395634"/>
        <c:crosses val="autoZero"/>
        <c:auto val="1"/>
        <c:lblAlgn val="ctr"/>
        <c:lblOffset val="100"/>
        <c:noMultiLvlLbl val="0"/>
      </c:catAx>
      <c:valAx>
        <c:axId val="64139563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3733987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withinLinear" id="14">
  <a:schemeClr val="accent1"/>
</cs:colorStyle>
</file>

<file path=word/charts/colors25.xml><?xml version="1.0" encoding="utf-8"?>
<cs:colorStyle xmlns:cs="http://schemas.microsoft.com/office/drawing/2012/chartStyle" xmlns:a="http://schemas.openxmlformats.org/drawingml/2006/main" meth="withinLinear" id="14">
  <a:schemeClr val="accent1"/>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4">
  <a:schemeClr val="accent1"/>
</cs:colorStyle>
</file>

<file path=word/charts/colors31.xml><?xml version="1.0" encoding="utf-8"?>
<cs:colorStyle xmlns:cs="http://schemas.microsoft.com/office/drawing/2012/chartStyle" xmlns:a="http://schemas.openxmlformats.org/drawingml/2006/main" meth="withinLinear" id="14">
  <a:schemeClr val="accent1"/>
</cs:colorStyle>
</file>

<file path=word/charts/colors32.xml><?xml version="1.0" encoding="utf-8"?>
<cs:colorStyle xmlns:cs="http://schemas.microsoft.com/office/drawing/2012/chartStyle" xmlns:a="http://schemas.openxmlformats.org/drawingml/2006/main" meth="withinLinear" id="14">
  <a:schemeClr val="accent1"/>
</cs:colorStyle>
</file>

<file path=word/charts/colors33.xml><?xml version="1.0" encoding="utf-8"?>
<cs:colorStyle xmlns:cs="http://schemas.microsoft.com/office/drawing/2012/chartStyle" xmlns:a="http://schemas.openxmlformats.org/drawingml/2006/main" meth="withinLinear" id="14">
  <a:schemeClr val="accent1"/>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大都市">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大都市">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有光泽">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Office_10.1.0.6146_F1E327BC-269C-435d-A152-05C5408002CA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2016-12-05T01:48:00Z</dcterms:created>
  <dc:creator>Administrator</dc:creator>
  <cp:lastModifiedBy>Administrator</cp:lastModifiedBy>
  <dcterms:modified xsi:type="dcterms:W3CDTF">2016-12-30T02:38:06Z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2052-10.1.0.6146</vt:lpwstr>
  </property>
</Properties>
</file>