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18.xml" ContentType="application/vnd.ms-office.chartcolorstyle+xml"/>
  <Override PartName="/word/charts/colors19.xml" ContentType="application/vnd.ms-office.chartcolorstyle+xml"/>
  <Override PartName="/word/charts/colors2.xml" ContentType="application/vnd.ms-office.chartcolorstyle+xml"/>
  <Override PartName="/word/charts/colors20.xml" ContentType="application/vnd.ms-office.chartcolorstyle+xml"/>
  <Override PartName="/word/charts/colors21.xml" ContentType="application/vnd.ms-office.chartcolorstyle+xml"/>
  <Override PartName="/word/charts/colors22.xml" ContentType="application/vnd.ms-office.chartcolorstyle+xml"/>
  <Override PartName="/word/charts/colors23.xml" ContentType="application/vnd.ms-office.chartcolorstyle+xml"/>
  <Override PartName="/word/charts/colors24.xml" ContentType="application/vnd.ms-office.chartcolorstyle+xml"/>
  <Override PartName="/word/charts/colors25.xml" ContentType="application/vnd.ms-office.chartcolorstyle+xml"/>
  <Override PartName="/word/charts/colors26.xml" ContentType="application/vnd.ms-office.chartcolorstyle+xml"/>
  <Override PartName="/word/charts/colors27.xml" ContentType="application/vnd.ms-office.chartcolorstyle+xml"/>
  <Override PartName="/word/charts/colors28.xml" ContentType="application/vnd.ms-office.chartcolorstyle+xml"/>
  <Override PartName="/word/charts/colors29.xml" ContentType="application/vnd.ms-office.chartcolorstyle+xml"/>
  <Override PartName="/word/charts/colors3.xml" ContentType="application/vnd.ms-office.chartcolorstyle+xml"/>
  <Override PartName="/word/charts/colors30.xml" ContentType="application/vnd.ms-office.chartcolorstyle+xml"/>
  <Override PartName="/word/charts/colors31.xml" ContentType="application/vnd.ms-office.chartcolorstyle+xml"/>
  <Override PartName="/word/charts/colors32.xml" ContentType="application/vnd.ms-office.chartcolorstyle+xml"/>
  <Override PartName="/word/charts/colors33.xml" ContentType="application/vnd.ms-office.chartcolorstyle+xml"/>
  <Override PartName="/word/charts/colors34.xml" ContentType="application/vnd.ms-office.chartcolorstyle+xml"/>
  <Override PartName="/word/charts/colors35.xml" ContentType="application/vnd.ms-office.chartcolorstyle+xml"/>
  <Override PartName="/word/charts/colors36.xml" ContentType="application/vnd.ms-office.chartcolorstyle+xml"/>
  <Override PartName="/word/charts/colors37.xml" ContentType="application/vnd.ms-office.chartcolorstyle+xml"/>
  <Override PartName="/word/charts/colors38.xml" ContentType="application/vnd.ms-office.chartcolorstyle+xml"/>
  <Override PartName="/word/charts/colors39.xml" ContentType="application/vnd.ms-office.chartcolorstyle+xml"/>
  <Override PartName="/word/charts/colors4.xml" ContentType="application/vnd.ms-office.chartcolorstyle+xml"/>
  <Override PartName="/word/charts/colors40.xml" ContentType="application/vnd.ms-office.chartcolorstyle+xml"/>
  <Override PartName="/word/charts/colors41.xml" ContentType="application/vnd.ms-office.chartcolorstyle+xml"/>
  <Override PartName="/word/charts/colors42.xml" ContentType="application/vnd.ms-office.chartcolorstyle+xml"/>
  <Override PartName="/word/charts/colors43.xml" ContentType="application/vnd.ms-office.chartcolorstyle+xml"/>
  <Override PartName="/word/charts/colors44.xml" ContentType="application/vnd.ms-office.chartcolorstyle+xml"/>
  <Override PartName="/word/charts/colors45.xml" ContentType="application/vnd.ms-office.chartcolorstyle+xml"/>
  <Override PartName="/word/charts/colors46.xml" ContentType="application/vnd.ms-office.chartcolorstyle+xml"/>
  <Override PartName="/word/charts/colors47.xml" ContentType="application/vnd.ms-office.chartcolorstyle+xml"/>
  <Override PartName="/word/charts/colors48.xml" ContentType="application/vnd.ms-office.chartcolorstyle+xml"/>
  <Override PartName="/word/charts/colors49.xml" ContentType="application/vnd.ms-office.chartcolorstyle+xml"/>
  <Override PartName="/word/charts/colors5.xml" ContentType="application/vnd.ms-office.chartcolorstyle+xml"/>
  <Override PartName="/word/charts/colors50.xml" ContentType="application/vnd.ms-office.chartcolorstyle+xml"/>
  <Override PartName="/word/charts/colors51.xml" ContentType="application/vnd.ms-office.chartcolorstyle+xml"/>
  <Override PartName="/word/charts/colors52.xml" ContentType="application/vnd.ms-office.chartcolorstyle+xml"/>
  <Override PartName="/word/charts/colors53.xml" ContentType="application/vnd.ms-office.chartcolorstyle+xml"/>
  <Override PartName="/word/charts/colors54.xml" ContentType="application/vnd.ms-office.chartcolorstyle+xml"/>
  <Override PartName="/word/charts/colors55.xml" ContentType="application/vnd.ms-office.chartcolorstyle+xml"/>
  <Override PartName="/word/charts/colors56.xml" ContentType="application/vnd.ms-office.chartcolorstyle+xml"/>
  <Override PartName="/word/charts/colors57.xml" ContentType="application/vnd.ms-office.chartcolorstyle+xml"/>
  <Override PartName="/word/charts/colors58.xml" ContentType="application/vnd.ms-office.chartcolorstyle+xml"/>
  <Override PartName="/word/charts/colors59.xml" ContentType="application/vnd.ms-office.chartcolorstyle+xml"/>
  <Override PartName="/word/charts/colors6.xml" ContentType="application/vnd.ms-office.chartcolorstyle+xml"/>
  <Override PartName="/word/charts/colors60.xml" ContentType="application/vnd.ms-office.chartcolorstyle+xml"/>
  <Override PartName="/word/charts/colors61.xml" ContentType="application/vnd.ms-office.chartcolorstyle+xml"/>
  <Override PartName="/word/charts/colors62.xml" ContentType="application/vnd.ms-office.chartcolorstyle+xml"/>
  <Override PartName="/word/charts/colors63.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18.xml" ContentType="application/vnd.ms-office.chartstyle+xml"/>
  <Override PartName="/word/charts/style19.xml" ContentType="application/vnd.ms-office.chartstyle+xml"/>
  <Override PartName="/word/charts/style2.xml" ContentType="application/vnd.ms-office.chartstyle+xml"/>
  <Override PartName="/word/charts/style20.xml" ContentType="application/vnd.ms-office.chartstyle+xml"/>
  <Override PartName="/word/charts/style21.xml" ContentType="application/vnd.ms-office.chartstyle+xml"/>
  <Override PartName="/word/charts/style22.xml" ContentType="application/vnd.ms-office.chartstyle+xml"/>
  <Override PartName="/word/charts/style23.xml" ContentType="application/vnd.ms-office.chartstyle+xml"/>
  <Override PartName="/word/charts/style24.xml" ContentType="application/vnd.ms-office.chartstyle+xml"/>
  <Override PartName="/word/charts/style25.xml" ContentType="application/vnd.ms-office.chartstyle+xml"/>
  <Override PartName="/word/charts/style26.xml" ContentType="application/vnd.ms-office.chartstyle+xml"/>
  <Override PartName="/word/charts/style27.xml" ContentType="application/vnd.ms-office.chartstyle+xml"/>
  <Override PartName="/word/charts/style28.xml" ContentType="application/vnd.ms-office.chartstyle+xml"/>
  <Override PartName="/word/charts/style29.xml" ContentType="application/vnd.ms-office.chartstyle+xml"/>
  <Override PartName="/word/charts/style3.xml" ContentType="application/vnd.ms-office.chartstyle+xml"/>
  <Override PartName="/word/charts/style30.xml" ContentType="application/vnd.ms-office.chartstyle+xml"/>
  <Override PartName="/word/charts/style31.xml" ContentType="application/vnd.ms-office.chartstyle+xml"/>
  <Override PartName="/word/charts/style32.xml" ContentType="application/vnd.ms-office.chartstyle+xml"/>
  <Override PartName="/word/charts/style33.xml" ContentType="application/vnd.ms-office.chartstyle+xml"/>
  <Override PartName="/word/charts/style34.xml" ContentType="application/vnd.ms-office.chartstyle+xml"/>
  <Override PartName="/word/charts/style35.xml" ContentType="application/vnd.ms-office.chartstyle+xml"/>
  <Override PartName="/word/charts/style36.xml" ContentType="application/vnd.ms-office.chartstyle+xml"/>
  <Override PartName="/word/charts/style37.xml" ContentType="application/vnd.ms-office.chartstyle+xml"/>
  <Override PartName="/word/charts/style38.xml" ContentType="application/vnd.ms-office.chartstyle+xml"/>
  <Override PartName="/word/charts/style39.xml" ContentType="application/vnd.ms-office.chartstyle+xml"/>
  <Override PartName="/word/charts/style4.xml" ContentType="application/vnd.ms-office.chartstyle+xml"/>
  <Override PartName="/word/charts/style40.xml" ContentType="application/vnd.ms-office.chartstyle+xml"/>
  <Override PartName="/word/charts/style41.xml" ContentType="application/vnd.ms-office.chartstyle+xml"/>
  <Override PartName="/word/charts/style42.xml" ContentType="application/vnd.ms-office.chartstyle+xml"/>
  <Override PartName="/word/charts/style43.xml" ContentType="application/vnd.ms-office.chartstyle+xml"/>
  <Override PartName="/word/charts/style44.xml" ContentType="application/vnd.ms-office.chartstyle+xml"/>
  <Override PartName="/word/charts/style45.xml" ContentType="application/vnd.ms-office.chartstyle+xml"/>
  <Override PartName="/word/charts/style46.xml" ContentType="application/vnd.ms-office.chartstyle+xml"/>
  <Override PartName="/word/charts/style47.xml" ContentType="application/vnd.ms-office.chartstyle+xml"/>
  <Override PartName="/word/charts/style48.xml" ContentType="application/vnd.ms-office.chartstyle+xml"/>
  <Override PartName="/word/charts/style49.xml" ContentType="application/vnd.ms-office.chartstyle+xml"/>
  <Override PartName="/word/charts/style5.xml" ContentType="application/vnd.ms-office.chartstyle+xml"/>
  <Override PartName="/word/charts/style50.xml" ContentType="application/vnd.ms-office.chartstyle+xml"/>
  <Override PartName="/word/charts/style51.xml" ContentType="application/vnd.ms-office.chartstyle+xml"/>
  <Override PartName="/word/charts/style52.xml" ContentType="application/vnd.ms-office.chartstyle+xml"/>
  <Override PartName="/word/charts/style53.xml" ContentType="application/vnd.ms-office.chartstyle+xml"/>
  <Override PartName="/word/charts/style54.xml" ContentType="application/vnd.ms-office.chartstyle+xml"/>
  <Override PartName="/word/charts/style55.xml" ContentType="application/vnd.ms-office.chartstyle+xml"/>
  <Override PartName="/word/charts/style56.xml" ContentType="application/vnd.ms-office.chartstyle+xml"/>
  <Override PartName="/word/charts/style57.xml" ContentType="application/vnd.ms-office.chartstyle+xml"/>
  <Override PartName="/word/charts/style58.xml" ContentType="application/vnd.ms-office.chartstyle+xml"/>
  <Override PartName="/word/charts/style59.xml" ContentType="application/vnd.ms-office.chartstyle+xml"/>
  <Override PartName="/word/charts/style6.xml" ContentType="application/vnd.ms-office.chartstyle+xml"/>
  <Override PartName="/word/charts/style60.xml" ContentType="application/vnd.ms-office.chartstyle+xml"/>
  <Override PartName="/word/charts/style61.xml" ContentType="application/vnd.ms-office.chartstyle+xml"/>
  <Override PartName="/word/charts/style62.xml" ContentType="application/vnd.ms-office.chartstyle+xml"/>
  <Override PartName="/word/charts/style63.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pPr>
      <w:bookmarkStart w:id="0" w:name="_Toc462907745"/>
      <w:r>
        <w:drawing>
          <wp:anchor distT="0" distB="0" distL="114300" distR="114300" simplePos="0" relativeHeight="251658240" behindDoc="1" locked="0" layoutInCell="1" allowOverlap="1">
            <wp:simplePos x="0" y="0"/>
            <wp:positionH relativeFrom="page">
              <wp:align>right</wp:align>
            </wp:positionH>
            <wp:positionV relativeFrom="paragraph">
              <wp:posOffset>-1721485</wp:posOffset>
            </wp:positionV>
            <wp:extent cx="7639050" cy="1119124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39050" cy="11191555"/>
                    </a:xfrm>
                    <a:prstGeom prst="rect">
                      <a:avLst/>
                    </a:prstGeom>
                  </pic:spPr>
                </pic:pic>
              </a:graphicData>
            </a:graphic>
          </wp:anchor>
        </w:drawing>
      </w:r>
    </w:p>
    <w:p>
      <w:pPr>
        <w:pStyle w:val="14"/>
        <w:tabs>
          <w:tab w:val="right" w:leader="dot" w:pos="8296"/>
        </w:tabs>
        <w:jc w:val="center"/>
      </w:pPr>
      <w:r>
        <w:rPr>
          <w:rFonts w:hint="eastAsia"/>
        </w:rPr>
        <w:t>目录</w:t>
      </w:r>
    </w:p>
    <w:p>
      <w:pPr>
        <w:pStyle w:val="14"/>
        <w:tabs>
          <w:tab w:val="right" w:leader="dot" w:pos="8296"/>
        </w:tabs>
        <w:rPr>
          <w:rFonts w:asciiTheme="minorHAnsi" w:hAnsiTheme="minorHAnsi"/>
          <w:b w:val="0"/>
          <w:bCs w:val="0"/>
          <w:caps w:val="0"/>
          <w:sz w:val="21"/>
          <w:szCs w:val="22"/>
        </w:rPr>
      </w:pPr>
      <w:r>
        <w:fldChar w:fldCharType="begin"/>
      </w:r>
      <w:r>
        <w:instrText xml:space="preserve"> TOC \o "1-3" \h \z \u </w:instrText>
      </w:r>
      <w:r>
        <w:fldChar w:fldCharType="separate"/>
      </w:r>
      <w:r>
        <w:fldChar w:fldCharType="begin"/>
      </w:r>
      <w:r>
        <w:instrText xml:space="preserve"> HYPERLINK \l "_Toc471310902" </w:instrText>
      </w:r>
      <w:r>
        <w:fldChar w:fldCharType="separate"/>
      </w:r>
      <w:r>
        <w:rPr>
          <w:rStyle w:val="21"/>
          <w:rFonts w:hint="eastAsia"/>
        </w:rPr>
        <w:t>前言</w:t>
      </w:r>
      <w:r>
        <w:tab/>
      </w:r>
      <w:r>
        <w:fldChar w:fldCharType="begin"/>
      </w:r>
      <w:r>
        <w:instrText xml:space="preserve"> PAGEREF _Toc471310902 \h </w:instrText>
      </w:r>
      <w:r>
        <w:fldChar w:fldCharType="separate"/>
      </w:r>
      <w:r>
        <w:t>1</w:t>
      </w:r>
      <w:r>
        <w:fldChar w:fldCharType="end"/>
      </w:r>
      <w:r>
        <w:fldChar w:fldCharType="end"/>
      </w:r>
    </w:p>
    <w:p>
      <w:pPr>
        <w:pStyle w:val="14"/>
        <w:tabs>
          <w:tab w:val="right" w:leader="dot" w:pos="8296"/>
        </w:tabs>
        <w:rPr>
          <w:rFonts w:asciiTheme="minorHAnsi" w:hAnsiTheme="minorHAnsi"/>
          <w:b w:val="0"/>
          <w:bCs w:val="0"/>
          <w:caps w:val="0"/>
          <w:sz w:val="21"/>
          <w:szCs w:val="22"/>
        </w:rPr>
      </w:pPr>
      <w:r>
        <w:fldChar w:fldCharType="begin"/>
      </w:r>
      <w:r>
        <w:instrText xml:space="preserve"> HYPERLINK \l "_Toc471310903" </w:instrText>
      </w:r>
      <w:r>
        <w:fldChar w:fldCharType="separate"/>
      </w:r>
      <w:r>
        <w:rPr>
          <w:rStyle w:val="21"/>
          <w:rFonts w:hint="eastAsia"/>
        </w:rPr>
        <w:t>学校概况</w:t>
      </w:r>
      <w:r>
        <w:tab/>
      </w:r>
      <w:r>
        <w:fldChar w:fldCharType="begin"/>
      </w:r>
      <w:r>
        <w:instrText xml:space="preserve"> PAGEREF _Toc471310903 \h </w:instrText>
      </w:r>
      <w:r>
        <w:fldChar w:fldCharType="separate"/>
      </w:r>
      <w:r>
        <w:t>2</w:t>
      </w:r>
      <w:r>
        <w:fldChar w:fldCharType="end"/>
      </w:r>
      <w:r>
        <w:fldChar w:fldCharType="end"/>
      </w:r>
    </w:p>
    <w:p>
      <w:pPr>
        <w:pStyle w:val="14"/>
        <w:tabs>
          <w:tab w:val="right" w:leader="dot" w:pos="8296"/>
        </w:tabs>
        <w:rPr>
          <w:rFonts w:asciiTheme="minorHAnsi" w:hAnsiTheme="minorHAnsi"/>
          <w:b w:val="0"/>
          <w:bCs w:val="0"/>
          <w:caps w:val="0"/>
          <w:sz w:val="21"/>
          <w:szCs w:val="22"/>
        </w:rPr>
      </w:pPr>
      <w:r>
        <w:fldChar w:fldCharType="begin"/>
      </w:r>
      <w:r>
        <w:instrText xml:space="preserve"> HYPERLINK \l "_Toc471310904" </w:instrText>
      </w:r>
      <w:r>
        <w:fldChar w:fldCharType="separate"/>
      </w:r>
      <w:r>
        <w:rPr>
          <w:rStyle w:val="21"/>
          <w:rFonts w:hint="eastAsia"/>
        </w:rPr>
        <w:t>第一章</w:t>
      </w:r>
      <w:r>
        <w:rPr>
          <w:rStyle w:val="21"/>
        </w:rPr>
        <w:t xml:space="preserve"> 2016</w:t>
      </w:r>
      <w:r>
        <w:rPr>
          <w:rStyle w:val="21"/>
          <w:rFonts w:hint="eastAsia"/>
        </w:rPr>
        <w:t>届毕业生生源结构与规模分布</w:t>
      </w:r>
      <w:r>
        <w:tab/>
      </w:r>
      <w:r>
        <w:fldChar w:fldCharType="begin"/>
      </w:r>
      <w:r>
        <w:instrText xml:space="preserve"> PAGEREF _Toc471310904 \h </w:instrText>
      </w:r>
      <w:r>
        <w:fldChar w:fldCharType="separate"/>
      </w:r>
      <w:r>
        <w:t>4</w:t>
      </w:r>
      <w:r>
        <w:fldChar w:fldCharType="end"/>
      </w:r>
      <w:r>
        <w:fldChar w:fldCharType="end"/>
      </w:r>
    </w:p>
    <w:p>
      <w:pPr>
        <w:pStyle w:val="18"/>
        <w:tabs>
          <w:tab w:val="right" w:leader="dot" w:pos="8296"/>
        </w:tabs>
        <w:rPr>
          <w:b w:val="0"/>
          <w:bCs w:val="0"/>
          <w:sz w:val="21"/>
          <w:szCs w:val="22"/>
        </w:rPr>
      </w:pPr>
      <w:r>
        <w:fldChar w:fldCharType="begin"/>
      </w:r>
      <w:r>
        <w:instrText xml:space="preserve"> HYPERLINK \l "_Toc471310905" </w:instrText>
      </w:r>
      <w:r>
        <w:fldChar w:fldCharType="separate"/>
      </w:r>
      <w:r>
        <w:rPr>
          <w:rStyle w:val="21"/>
          <w:rFonts w:hint="eastAsia"/>
        </w:rPr>
        <w:t>一、</w:t>
      </w:r>
      <w:r>
        <w:rPr>
          <w:rStyle w:val="21"/>
        </w:rPr>
        <w:t>2016</w:t>
      </w:r>
      <w:r>
        <w:rPr>
          <w:rStyle w:val="21"/>
          <w:rFonts w:hint="eastAsia"/>
        </w:rPr>
        <w:t>届毕业生规模与学历层次分布情况</w:t>
      </w:r>
      <w:r>
        <w:tab/>
      </w:r>
      <w:r>
        <w:fldChar w:fldCharType="begin"/>
      </w:r>
      <w:r>
        <w:instrText xml:space="preserve"> PAGEREF _Toc471310905 \h </w:instrText>
      </w:r>
      <w:r>
        <w:fldChar w:fldCharType="separate"/>
      </w:r>
      <w:r>
        <w:t>4</w:t>
      </w:r>
      <w:r>
        <w:fldChar w:fldCharType="end"/>
      </w:r>
      <w:r>
        <w:fldChar w:fldCharType="end"/>
      </w:r>
    </w:p>
    <w:p>
      <w:pPr>
        <w:pStyle w:val="18"/>
        <w:tabs>
          <w:tab w:val="right" w:leader="dot" w:pos="8296"/>
        </w:tabs>
        <w:rPr>
          <w:b w:val="0"/>
          <w:bCs w:val="0"/>
          <w:sz w:val="21"/>
          <w:szCs w:val="22"/>
        </w:rPr>
      </w:pPr>
      <w:r>
        <w:fldChar w:fldCharType="begin"/>
      </w:r>
      <w:r>
        <w:instrText xml:space="preserve"> HYPERLINK \l "_Toc471310906" </w:instrText>
      </w:r>
      <w:r>
        <w:fldChar w:fldCharType="separate"/>
      </w:r>
      <w:r>
        <w:rPr>
          <w:rStyle w:val="21"/>
          <w:rFonts w:hint="eastAsia"/>
        </w:rPr>
        <w:t>二、</w:t>
      </w:r>
      <w:r>
        <w:rPr>
          <w:rStyle w:val="21"/>
        </w:rPr>
        <w:t>2016</w:t>
      </w:r>
      <w:r>
        <w:rPr>
          <w:rStyle w:val="21"/>
          <w:rFonts w:hint="eastAsia"/>
        </w:rPr>
        <w:t>届毕业生性别分布情况</w:t>
      </w:r>
      <w:r>
        <w:tab/>
      </w:r>
      <w:r>
        <w:fldChar w:fldCharType="begin"/>
      </w:r>
      <w:r>
        <w:instrText xml:space="preserve"> PAGEREF _Toc471310906 \h </w:instrText>
      </w:r>
      <w:r>
        <w:fldChar w:fldCharType="separate"/>
      </w:r>
      <w:r>
        <w:t>4</w:t>
      </w:r>
      <w:r>
        <w:fldChar w:fldCharType="end"/>
      </w:r>
      <w:r>
        <w:fldChar w:fldCharType="end"/>
      </w:r>
    </w:p>
    <w:p>
      <w:pPr>
        <w:pStyle w:val="18"/>
        <w:tabs>
          <w:tab w:val="right" w:leader="dot" w:pos="8296"/>
        </w:tabs>
        <w:rPr>
          <w:b w:val="0"/>
          <w:bCs w:val="0"/>
          <w:sz w:val="21"/>
          <w:szCs w:val="22"/>
        </w:rPr>
      </w:pPr>
      <w:r>
        <w:fldChar w:fldCharType="begin"/>
      </w:r>
      <w:r>
        <w:instrText xml:space="preserve"> HYPERLINK \l "_Toc471310907" </w:instrText>
      </w:r>
      <w:r>
        <w:fldChar w:fldCharType="separate"/>
      </w:r>
      <w:r>
        <w:rPr>
          <w:rStyle w:val="21"/>
          <w:rFonts w:hint="eastAsia"/>
        </w:rPr>
        <w:t>三、</w:t>
      </w:r>
      <w:r>
        <w:rPr>
          <w:rStyle w:val="21"/>
        </w:rPr>
        <w:t>2016</w:t>
      </w:r>
      <w:r>
        <w:rPr>
          <w:rStyle w:val="21"/>
          <w:rFonts w:hint="eastAsia"/>
        </w:rPr>
        <w:t>届毕业生生源地域分布情况</w:t>
      </w:r>
      <w:r>
        <w:tab/>
      </w:r>
      <w:r>
        <w:fldChar w:fldCharType="begin"/>
      </w:r>
      <w:r>
        <w:instrText xml:space="preserve"> PAGEREF _Toc471310907 \h </w:instrText>
      </w:r>
      <w:r>
        <w:fldChar w:fldCharType="separate"/>
      </w:r>
      <w:r>
        <w:t>4</w:t>
      </w:r>
      <w:r>
        <w:fldChar w:fldCharType="end"/>
      </w:r>
      <w:r>
        <w:fldChar w:fldCharType="end"/>
      </w:r>
    </w:p>
    <w:p>
      <w:pPr>
        <w:pStyle w:val="18"/>
        <w:tabs>
          <w:tab w:val="right" w:leader="dot" w:pos="8296"/>
        </w:tabs>
        <w:rPr>
          <w:b w:val="0"/>
          <w:bCs w:val="0"/>
          <w:sz w:val="21"/>
          <w:szCs w:val="22"/>
        </w:rPr>
      </w:pPr>
      <w:r>
        <w:fldChar w:fldCharType="begin"/>
      </w:r>
      <w:r>
        <w:instrText xml:space="preserve"> HYPERLINK \l "_Toc471310908" </w:instrText>
      </w:r>
      <w:r>
        <w:fldChar w:fldCharType="separate"/>
      </w:r>
      <w:r>
        <w:rPr>
          <w:rStyle w:val="21"/>
          <w:rFonts w:hint="eastAsia"/>
        </w:rPr>
        <w:t>四、</w:t>
      </w:r>
      <w:r>
        <w:rPr>
          <w:rStyle w:val="21"/>
        </w:rPr>
        <w:t>2016</w:t>
      </w:r>
      <w:r>
        <w:rPr>
          <w:rStyle w:val="21"/>
          <w:rFonts w:hint="eastAsia"/>
        </w:rPr>
        <w:t>届毕业生民族分布情况</w:t>
      </w:r>
      <w:r>
        <w:tab/>
      </w:r>
      <w:r>
        <w:fldChar w:fldCharType="begin"/>
      </w:r>
      <w:r>
        <w:instrText xml:space="preserve"> PAGEREF _Toc471310908 \h </w:instrText>
      </w:r>
      <w:r>
        <w:fldChar w:fldCharType="separate"/>
      </w:r>
      <w:r>
        <w:t>5</w:t>
      </w:r>
      <w:r>
        <w:fldChar w:fldCharType="end"/>
      </w:r>
      <w:r>
        <w:fldChar w:fldCharType="end"/>
      </w:r>
    </w:p>
    <w:p>
      <w:pPr>
        <w:pStyle w:val="18"/>
        <w:tabs>
          <w:tab w:val="right" w:leader="dot" w:pos="8296"/>
        </w:tabs>
        <w:rPr>
          <w:b w:val="0"/>
          <w:bCs w:val="0"/>
          <w:sz w:val="21"/>
          <w:szCs w:val="22"/>
        </w:rPr>
      </w:pPr>
      <w:r>
        <w:fldChar w:fldCharType="begin"/>
      </w:r>
      <w:r>
        <w:instrText xml:space="preserve"> HYPERLINK \l "_Toc471310909" </w:instrText>
      </w:r>
      <w:r>
        <w:fldChar w:fldCharType="separate"/>
      </w:r>
      <w:r>
        <w:rPr>
          <w:rStyle w:val="21"/>
          <w:rFonts w:hint="eastAsia"/>
        </w:rPr>
        <w:t>五、</w:t>
      </w:r>
      <w:r>
        <w:rPr>
          <w:rStyle w:val="21"/>
        </w:rPr>
        <w:t>2016</w:t>
      </w:r>
      <w:r>
        <w:rPr>
          <w:rStyle w:val="21"/>
          <w:rFonts w:hint="eastAsia"/>
        </w:rPr>
        <w:t>届毕业生学院分布情况</w:t>
      </w:r>
      <w:r>
        <w:tab/>
      </w:r>
      <w:r>
        <w:fldChar w:fldCharType="begin"/>
      </w:r>
      <w:r>
        <w:instrText xml:space="preserve"> PAGEREF _Toc471310909 \h </w:instrText>
      </w:r>
      <w:r>
        <w:fldChar w:fldCharType="separate"/>
      </w:r>
      <w:r>
        <w:t>6</w:t>
      </w:r>
      <w:r>
        <w:fldChar w:fldCharType="end"/>
      </w:r>
      <w:r>
        <w:fldChar w:fldCharType="end"/>
      </w:r>
    </w:p>
    <w:p>
      <w:pPr>
        <w:pStyle w:val="18"/>
        <w:tabs>
          <w:tab w:val="right" w:leader="dot" w:pos="8296"/>
        </w:tabs>
        <w:rPr>
          <w:b w:val="0"/>
          <w:bCs w:val="0"/>
          <w:sz w:val="21"/>
          <w:szCs w:val="22"/>
        </w:rPr>
      </w:pPr>
      <w:r>
        <w:fldChar w:fldCharType="begin"/>
      </w:r>
      <w:r>
        <w:instrText xml:space="preserve"> HYPERLINK \l "_Toc471310910" </w:instrText>
      </w:r>
      <w:r>
        <w:fldChar w:fldCharType="separate"/>
      </w:r>
      <w:r>
        <w:rPr>
          <w:rStyle w:val="21"/>
          <w:rFonts w:hint="eastAsia"/>
        </w:rPr>
        <w:t>六、</w:t>
      </w:r>
      <w:r>
        <w:rPr>
          <w:rStyle w:val="21"/>
        </w:rPr>
        <w:t>2016</w:t>
      </w:r>
      <w:r>
        <w:rPr>
          <w:rStyle w:val="21"/>
          <w:rFonts w:hint="eastAsia"/>
        </w:rPr>
        <w:t>届毕业生专业分布情况</w:t>
      </w:r>
      <w:r>
        <w:tab/>
      </w:r>
      <w:r>
        <w:fldChar w:fldCharType="begin"/>
      </w:r>
      <w:r>
        <w:instrText xml:space="preserve"> PAGEREF _Toc471310910 \h </w:instrText>
      </w:r>
      <w:r>
        <w:fldChar w:fldCharType="separate"/>
      </w:r>
      <w:r>
        <w:t>7</w:t>
      </w:r>
      <w:r>
        <w:fldChar w:fldCharType="end"/>
      </w:r>
      <w:r>
        <w:fldChar w:fldCharType="end"/>
      </w:r>
    </w:p>
    <w:p>
      <w:pPr>
        <w:pStyle w:val="18"/>
        <w:tabs>
          <w:tab w:val="right" w:leader="dot" w:pos="8296"/>
        </w:tabs>
        <w:rPr>
          <w:b w:val="0"/>
          <w:bCs w:val="0"/>
          <w:sz w:val="21"/>
          <w:szCs w:val="22"/>
        </w:rPr>
      </w:pPr>
      <w:r>
        <w:fldChar w:fldCharType="begin"/>
      </w:r>
      <w:r>
        <w:instrText xml:space="preserve"> HYPERLINK \l "_Toc471310911" </w:instrText>
      </w:r>
      <w:r>
        <w:fldChar w:fldCharType="separate"/>
      </w:r>
      <w:r>
        <w:rPr>
          <w:rStyle w:val="21"/>
          <w:rFonts w:hint="eastAsia"/>
        </w:rPr>
        <w:t>七、</w:t>
      </w:r>
      <w:r>
        <w:rPr>
          <w:rStyle w:val="21"/>
        </w:rPr>
        <w:t>2016</w:t>
      </w:r>
      <w:r>
        <w:rPr>
          <w:rStyle w:val="21"/>
          <w:rFonts w:hint="eastAsia"/>
        </w:rPr>
        <w:t>届毕业生不同学历层次困难生分布情况</w:t>
      </w:r>
      <w:r>
        <w:tab/>
      </w:r>
      <w:r>
        <w:fldChar w:fldCharType="begin"/>
      </w:r>
      <w:r>
        <w:instrText xml:space="preserve"> PAGEREF _Toc471310911 \h </w:instrText>
      </w:r>
      <w:r>
        <w:fldChar w:fldCharType="separate"/>
      </w:r>
      <w:r>
        <w:t>8</w:t>
      </w:r>
      <w:r>
        <w:fldChar w:fldCharType="end"/>
      </w:r>
      <w:r>
        <w:fldChar w:fldCharType="end"/>
      </w:r>
    </w:p>
    <w:p>
      <w:pPr>
        <w:pStyle w:val="14"/>
        <w:tabs>
          <w:tab w:val="right" w:leader="dot" w:pos="8296"/>
        </w:tabs>
        <w:rPr>
          <w:rFonts w:asciiTheme="minorHAnsi" w:hAnsiTheme="minorHAnsi"/>
          <w:b w:val="0"/>
          <w:bCs w:val="0"/>
          <w:caps w:val="0"/>
          <w:sz w:val="21"/>
          <w:szCs w:val="22"/>
        </w:rPr>
      </w:pPr>
      <w:r>
        <w:fldChar w:fldCharType="begin"/>
      </w:r>
      <w:r>
        <w:instrText xml:space="preserve"> HYPERLINK \l "_Toc471310912" </w:instrText>
      </w:r>
      <w:r>
        <w:fldChar w:fldCharType="separate"/>
      </w:r>
      <w:r>
        <w:rPr>
          <w:rStyle w:val="21"/>
          <w:rFonts w:hint="eastAsia"/>
        </w:rPr>
        <w:t>第二章</w:t>
      </w:r>
      <w:r>
        <w:rPr>
          <w:rStyle w:val="21"/>
        </w:rPr>
        <w:t xml:space="preserve"> 2016</w:t>
      </w:r>
      <w:r>
        <w:rPr>
          <w:rStyle w:val="21"/>
          <w:rFonts w:hint="eastAsia"/>
        </w:rPr>
        <w:t>届毕业生就业状况分布</w:t>
      </w:r>
      <w:r>
        <w:tab/>
      </w:r>
      <w:r>
        <w:fldChar w:fldCharType="begin"/>
      </w:r>
      <w:r>
        <w:instrText xml:space="preserve"> PAGEREF _Toc471310912 \h </w:instrText>
      </w:r>
      <w:r>
        <w:fldChar w:fldCharType="separate"/>
      </w:r>
      <w:r>
        <w:t>10</w:t>
      </w:r>
      <w:r>
        <w:fldChar w:fldCharType="end"/>
      </w:r>
      <w:r>
        <w:fldChar w:fldCharType="end"/>
      </w:r>
    </w:p>
    <w:p>
      <w:pPr>
        <w:pStyle w:val="18"/>
        <w:tabs>
          <w:tab w:val="right" w:leader="dot" w:pos="8296"/>
        </w:tabs>
        <w:rPr>
          <w:b w:val="0"/>
          <w:bCs w:val="0"/>
          <w:sz w:val="21"/>
          <w:szCs w:val="22"/>
        </w:rPr>
      </w:pPr>
      <w:r>
        <w:fldChar w:fldCharType="begin"/>
      </w:r>
      <w:r>
        <w:instrText xml:space="preserve"> HYPERLINK \l "_Toc471310913" </w:instrText>
      </w:r>
      <w:r>
        <w:fldChar w:fldCharType="separate"/>
      </w:r>
      <w:r>
        <w:rPr>
          <w:rStyle w:val="21"/>
          <w:rFonts w:hint="eastAsia"/>
        </w:rPr>
        <w:t>一、初次就业率</w:t>
      </w:r>
      <w:r>
        <w:tab/>
      </w:r>
      <w:r>
        <w:fldChar w:fldCharType="begin"/>
      </w:r>
      <w:r>
        <w:instrText xml:space="preserve"> PAGEREF _Toc471310913 \h </w:instrText>
      </w:r>
      <w:r>
        <w:fldChar w:fldCharType="separate"/>
      </w:r>
      <w:r>
        <w:t>10</w:t>
      </w:r>
      <w:r>
        <w:fldChar w:fldCharType="end"/>
      </w:r>
      <w:r>
        <w:fldChar w:fldCharType="end"/>
      </w:r>
    </w:p>
    <w:p>
      <w:pPr>
        <w:pStyle w:val="10"/>
        <w:tabs>
          <w:tab w:val="right" w:leader="dot" w:pos="8296"/>
        </w:tabs>
        <w:rPr>
          <w:sz w:val="21"/>
          <w:szCs w:val="22"/>
        </w:rPr>
      </w:pPr>
      <w:r>
        <w:fldChar w:fldCharType="begin"/>
      </w:r>
      <w:r>
        <w:instrText xml:space="preserve"> HYPERLINK \l "_Toc471310914" </w:instrText>
      </w:r>
      <w:r>
        <w:fldChar w:fldCharType="separate"/>
      </w:r>
      <w:r>
        <w:rPr>
          <w:rStyle w:val="21"/>
          <w:rFonts w:hint="eastAsia"/>
        </w:rPr>
        <w:t>（一）</w:t>
      </w:r>
      <w:r>
        <w:rPr>
          <w:rStyle w:val="21"/>
        </w:rPr>
        <w:t>2016</w:t>
      </w:r>
      <w:r>
        <w:rPr>
          <w:rStyle w:val="21"/>
          <w:rFonts w:hint="eastAsia"/>
        </w:rPr>
        <w:t>届毕业生不同性别初次就业率</w:t>
      </w:r>
      <w:r>
        <w:tab/>
      </w:r>
      <w:r>
        <w:fldChar w:fldCharType="begin"/>
      </w:r>
      <w:r>
        <w:instrText xml:space="preserve"> PAGEREF _Toc471310914 \h </w:instrText>
      </w:r>
      <w:r>
        <w:fldChar w:fldCharType="separate"/>
      </w:r>
      <w:r>
        <w:t>10</w:t>
      </w:r>
      <w:r>
        <w:fldChar w:fldCharType="end"/>
      </w:r>
      <w:r>
        <w:fldChar w:fldCharType="end"/>
      </w:r>
    </w:p>
    <w:p>
      <w:pPr>
        <w:pStyle w:val="10"/>
        <w:tabs>
          <w:tab w:val="right" w:leader="dot" w:pos="8296"/>
        </w:tabs>
        <w:rPr>
          <w:sz w:val="21"/>
          <w:szCs w:val="22"/>
        </w:rPr>
      </w:pPr>
      <w:r>
        <w:fldChar w:fldCharType="begin"/>
      </w:r>
      <w:r>
        <w:instrText xml:space="preserve"> HYPERLINK \l "_Toc471310915" </w:instrText>
      </w:r>
      <w:r>
        <w:fldChar w:fldCharType="separate"/>
      </w:r>
      <w:r>
        <w:rPr>
          <w:rStyle w:val="21"/>
          <w:rFonts w:hint="eastAsia"/>
        </w:rPr>
        <w:t>（二）</w:t>
      </w:r>
      <w:r>
        <w:rPr>
          <w:rStyle w:val="21"/>
        </w:rPr>
        <w:t>2016</w:t>
      </w:r>
      <w:r>
        <w:rPr>
          <w:rStyle w:val="21"/>
          <w:rFonts w:hint="eastAsia"/>
        </w:rPr>
        <w:t>届毕业生不同学历层次初次就业率</w:t>
      </w:r>
      <w:r>
        <w:tab/>
      </w:r>
      <w:r>
        <w:fldChar w:fldCharType="begin"/>
      </w:r>
      <w:r>
        <w:instrText xml:space="preserve"> PAGEREF _Toc471310915 \h </w:instrText>
      </w:r>
      <w:r>
        <w:fldChar w:fldCharType="separate"/>
      </w:r>
      <w:r>
        <w:t>10</w:t>
      </w:r>
      <w:r>
        <w:fldChar w:fldCharType="end"/>
      </w:r>
      <w:r>
        <w:fldChar w:fldCharType="end"/>
      </w:r>
    </w:p>
    <w:p>
      <w:pPr>
        <w:pStyle w:val="10"/>
        <w:tabs>
          <w:tab w:val="right" w:leader="dot" w:pos="8296"/>
        </w:tabs>
        <w:rPr>
          <w:sz w:val="21"/>
          <w:szCs w:val="22"/>
        </w:rPr>
      </w:pPr>
      <w:r>
        <w:fldChar w:fldCharType="begin"/>
      </w:r>
      <w:r>
        <w:instrText xml:space="preserve"> HYPERLINK \l "_Toc471310916" </w:instrText>
      </w:r>
      <w:r>
        <w:fldChar w:fldCharType="separate"/>
      </w:r>
      <w:r>
        <w:rPr>
          <w:rStyle w:val="21"/>
          <w:rFonts w:hint="eastAsia"/>
        </w:rPr>
        <w:t>（三）</w:t>
      </w:r>
      <w:r>
        <w:rPr>
          <w:rStyle w:val="21"/>
        </w:rPr>
        <w:t>2016</w:t>
      </w:r>
      <w:r>
        <w:rPr>
          <w:rStyle w:val="21"/>
          <w:rFonts w:hint="eastAsia"/>
        </w:rPr>
        <w:t>届毕业生不同专业初次就业率</w:t>
      </w:r>
      <w:r>
        <w:tab/>
      </w:r>
      <w:r>
        <w:fldChar w:fldCharType="begin"/>
      </w:r>
      <w:r>
        <w:instrText xml:space="preserve"> PAGEREF _Toc471310916 \h </w:instrText>
      </w:r>
      <w:r>
        <w:fldChar w:fldCharType="separate"/>
      </w:r>
      <w:r>
        <w:t>11</w:t>
      </w:r>
      <w:r>
        <w:fldChar w:fldCharType="end"/>
      </w:r>
      <w:r>
        <w:fldChar w:fldCharType="end"/>
      </w:r>
    </w:p>
    <w:p>
      <w:pPr>
        <w:pStyle w:val="10"/>
        <w:tabs>
          <w:tab w:val="right" w:leader="dot" w:pos="8296"/>
        </w:tabs>
        <w:rPr>
          <w:sz w:val="21"/>
          <w:szCs w:val="22"/>
        </w:rPr>
      </w:pPr>
      <w:r>
        <w:fldChar w:fldCharType="begin"/>
      </w:r>
      <w:r>
        <w:instrText xml:space="preserve"> HYPERLINK \l "_Toc471310917" </w:instrText>
      </w:r>
      <w:r>
        <w:fldChar w:fldCharType="separate"/>
      </w:r>
      <w:r>
        <w:rPr>
          <w:rStyle w:val="21"/>
          <w:rFonts w:hint="eastAsia"/>
        </w:rPr>
        <w:t>（四）</w:t>
      </w:r>
      <w:r>
        <w:rPr>
          <w:rStyle w:val="21"/>
        </w:rPr>
        <w:t>2016</w:t>
      </w:r>
      <w:r>
        <w:rPr>
          <w:rStyle w:val="21"/>
          <w:rFonts w:hint="eastAsia"/>
        </w:rPr>
        <w:t>届就业困难生初次就业率</w:t>
      </w:r>
      <w:r>
        <w:tab/>
      </w:r>
      <w:r>
        <w:fldChar w:fldCharType="begin"/>
      </w:r>
      <w:r>
        <w:instrText xml:space="preserve"> PAGEREF _Toc471310917 \h </w:instrText>
      </w:r>
      <w:r>
        <w:fldChar w:fldCharType="separate"/>
      </w:r>
      <w:r>
        <w:t>12</w:t>
      </w:r>
      <w:r>
        <w:fldChar w:fldCharType="end"/>
      </w:r>
      <w:r>
        <w:fldChar w:fldCharType="end"/>
      </w:r>
    </w:p>
    <w:p>
      <w:pPr>
        <w:pStyle w:val="18"/>
        <w:tabs>
          <w:tab w:val="right" w:leader="dot" w:pos="8296"/>
        </w:tabs>
        <w:rPr>
          <w:b w:val="0"/>
          <w:bCs w:val="0"/>
          <w:sz w:val="21"/>
          <w:szCs w:val="22"/>
        </w:rPr>
      </w:pPr>
      <w:r>
        <w:fldChar w:fldCharType="begin"/>
      </w:r>
      <w:r>
        <w:instrText xml:space="preserve"> HYPERLINK \l "_Toc471310918" </w:instrText>
      </w:r>
      <w:r>
        <w:fldChar w:fldCharType="separate"/>
      </w:r>
      <w:r>
        <w:rPr>
          <w:rStyle w:val="21"/>
          <w:rFonts w:hint="eastAsia"/>
        </w:rPr>
        <w:t>二、毕业去向</w:t>
      </w:r>
      <w:r>
        <w:tab/>
      </w:r>
      <w:r>
        <w:fldChar w:fldCharType="begin"/>
      </w:r>
      <w:r>
        <w:instrText xml:space="preserve"> PAGEREF _Toc471310918 \h </w:instrText>
      </w:r>
      <w:r>
        <w:fldChar w:fldCharType="separate"/>
      </w:r>
      <w:r>
        <w:t>13</w:t>
      </w:r>
      <w:r>
        <w:fldChar w:fldCharType="end"/>
      </w:r>
      <w:r>
        <w:fldChar w:fldCharType="end"/>
      </w:r>
    </w:p>
    <w:p>
      <w:pPr>
        <w:pStyle w:val="18"/>
        <w:tabs>
          <w:tab w:val="right" w:leader="dot" w:pos="8296"/>
        </w:tabs>
        <w:rPr>
          <w:b w:val="0"/>
          <w:bCs w:val="0"/>
          <w:sz w:val="21"/>
          <w:szCs w:val="22"/>
        </w:rPr>
      </w:pPr>
      <w:r>
        <w:fldChar w:fldCharType="begin"/>
      </w:r>
      <w:r>
        <w:instrText xml:space="preserve"> HYPERLINK \l "_Toc471310919" </w:instrText>
      </w:r>
      <w:r>
        <w:fldChar w:fldCharType="separate"/>
      </w:r>
      <w:r>
        <w:rPr>
          <w:rStyle w:val="21"/>
          <w:rFonts w:hint="eastAsia"/>
        </w:rPr>
        <w:t>三、就业分布</w:t>
      </w:r>
      <w:r>
        <w:tab/>
      </w:r>
      <w:r>
        <w:fldChar w:fldCharType="begin"/>
      </w:r>
      <w:r>
        <w:instrText xml:space="preserve"> PAGEREF _Toc471310919 \h </w:instrText>
      </w:r>
      <w:r>
        <w:fldChar w:fldCharType="separate"/>
      </w:r>
      <w:r>
        <w:t>14</w:t>
      </w:r>
      <w:r>
        <w:fldChar w:fldCharType="end"/>
      </w:r>
      <w:r>
        <w:fldChar w:fldCharType="end"/>
      </w:r>
    </w:p>
    <w:p>
      <w:pPr>
        <w:pStyle w:val="10"/>
        <w:tabs>
          <w:tab w:val="right" w:leader="dot" w:pos="8296"/>
        </w:tabs>
        <w:rPr>
          <w:sz w:val="21"/>
          <w:szCs w:val="22"/>
        </w:rPr>
      </w:pPr>
      <w:r>
        <w:fldChar w:fldCharType="begin"/>
      </w:r>
      <w:r>
        <w:instrText xml:space="preserve"> HYPERLINK \l "_Toc471310920" </w:instrText>
      </w:r>
      <w:r>
        <w:fldChar w:fldCharType="separate"/>
      </w:r>
      <w:r>
        <w:rPr>
          <w:rStyle w:val="21"/>
          <w:rFonts w:hint="eastAsia"/>
        </w:rPr>
        <w:t>（一）</w:t>
      </w:r>
      <w:r>
        <w:rPr>
          <w:rStyle w:val="21"/>
        </w:rPr>
        <w:t>2016</w:t>
      </w:r>
      <w:r>
        <w:rPr>
          <w:rStyle w:val="21"/>
          <w:rFonts w:hint="eastAsia"/>
        </w:rPr>
        <w:t>届毕业生就业单位性质分布</w:t>
      </w:r>
      <w:r>
        <w:tab/>
      </w:r>
      <w:r>
        <w:fldChar w:fldCharType="begin"/>
      </w:r>
      <w:r>
        <w:instrText xml:space="preserve"> PAGEREF _Toc471310920 \h </w:instrText>
      </w:r>
      <w:r>
        <w:fldChar w:fldCharType="separate"/>
      </w:r>
      <w:r>
        <w:t>14</w:t>
      </w:r>
      <w:r>
        <w:fldChar w:fldCharType="end"/>
      </w:r>
      <w:r>
        <w:fldChar w:fldCharType="end"/>
      </w:r>
    </w:p>
    <w:p>
      <w:pPr>
        <w:pStyle w:val="10"/>
        <w:tabs>
          <w:tab w:val="right" w:leader="dot" w:pos="8296"/>
        </w:tabs>
        <w:rPr>
          <w:sz w:val="21"/>
          <w:szCs w:val="22"/>
        </w:rPr>
      </w:pPr>
      <w:r>
        <w:fldChar w:fldCharType="begin"/>
      </w:r>
      <w:r>
        <w:instrText xml:space="preserve"> HYPERLINK \l "_Toc471310921" </w:instrText>
      </w:r>
      <w:r>
        <w:fldChar w:fldCharType="separate"/>
      </w:r>
      <w:r>
        <w:rPr>
          <w:rStyle w:val="21"/>
          <w:rFonts w:hint="eastAsia"/>
        </w:rPr>
        <w:t>（二）</w:t>
      </w:r>
      <w:r>
        <w:rPr>
          <w:rStyle w:val="21"/>
        </w:rPr>
        <w:t>2016</w:t>
      </w:r>
      <w:r>
        <w:rPr>
          <w:rStyle w:val="21"/>
          <w:rFonts w:hint="eastAsia"/>
        </w:rPr>
        <w:t>届毕业生就业区域分布</w:t>
      </w:r>
      <w:r>
        <w:tab/>
      </w:r>
      <w:r>
        <w:fldChar w:fldCharType="begin"/>
      </w:r>
      <w:r>
        <w:instrText xml:space="preserve"> PAGEREF _Toc471310921 \h </w:instrText>
      </w:r>
      <w:r>
        <w:fldChar w:fldCharType="separate"/>
      </w:r>
      <w:r>
        <w:t>15</w:t>
      </w:r>
      <w:r>
        <w:fldChar w:fldCharType="end"/>
      </w:r>
      <w:r>
        <w:fldChar w:fldCharType="end"/>
      </w:r>
    </w:p>
    <w:p>
      <w:pPr>
        <w:pStyle w:val="10"/>
        <w:tabs>
          <w:tab w:val="right" w:leader="dot" w:pos="8296"/>
        </w:tabs>
        <w:rPr>
          <w:sz w:val="21"/>
          <w:szCs w:val="22"/>
        </w:rPr>
      </w:pPr>
      <w:r>
        <w:fldChar w:fldCharType="begin"/>
      </w:r>
      <w:r>
        <w:instrText xml:space="preserve"> HYPERLINK \l "_Toc471310922" </w:instrText>
      </w:r>
      <w:r>
        <w:fldChar w:fldCharType="separate"/>
      </w:r>
      <w:r>
        <w:rPr>
          <w:rStyle w:val="21"/>
          <w:rFonts w:hint="eastAsia"/>
        </w:rPr>
        <w:t>（三）</w:t>
      </w:r>
      <w:r>
        <w:rPr>
          <w:rStyle w:val="21"/>
        </w:rPr>
        <w:t>2016</w:t>
      </w:r>
      <w:r>
        <w:rPr>
          <w:rStyle w:val="21"/>
          <w:rFonts w:hint="eastAsia"/>
        </w:rPr>
        <w:t>届毕业生就业行业分布</w:t>
      </w:r>
      <w:r>
        <w:tab/>
      </w:r>
      <w:r>
        <w:fldChar w:fldCharType="begin"/>
      </w:r>
      <w:r>
        <w:instrText xml:space="preserve"> PAGEREF _Toc471310922 \h </w:instrText>
      </w:r>
      <w:r>
        <w:fldChar w:fldCharType="separate"/>
      </w:r>
      <w:r>
        <w:t>17</w:t>
      </w:r>
      <w:r>
        <w:fldChar w:fldCharType="end"/>
      </w:r>
      <w:r>
        <w:fldChar w:fldCharType="end"/>
      </w:r>
    </w:p>
    <w:p>
      <w:pPr>
        <w:pStyle w:val="10"/>
        <w:tabs>
          <w:tab w:val="right" w:leader="dot" w:pos="8296"/>
        </w:tabs>
        <w:rPr>
          <w:sz w:val="21"/>
          <w:szCs w:val="22"/>
        </w:rPr>
      </w:pPr>
      <w:r>
        <w:fldChar w:fldCharType="begin"/>
      </w:r>
      <w:r>
        <w:instrText xml:space="preserve"> HYPERLINK \l "_Toc471310923" </w:instrText>
      </w:r>
      <w:r>
        <w:fldChar w:fldCharType="separate"/>
      </w:r>
      <w:r>
        <w:rPr>
          <w:rStyle w:val="21"/>
          <w:rFonts w:hint="eastAsia"/>
        </w:rPr>
        <w:t>（四）</w:t>
      </w:r>
      <w:r>
        <w:rPr>
          <w:rStyle w:val="21"/>
        </w:rPr>
        <w:t>2016</w:t>
      </w:r>
      <w:r>
        <w:rPr>
          <w:rStyle w:val="21"/>
          <w:rFonts w:hint="eastAsia"/>
        </w:rPr>
        <w:t>届毕业生就业岗位分布</w:t>
      </w:r>
      <w:r>
        <w:tab/>
      </w:r>
      <w:r>
        <w:fldChar w:fldCharType="begin"/>
      </w:r>
      <w:r>
        <w:instrText xml:space="preserve"> PAGEREF _Toc471310923 \h </w:instrText>
      </w:r>
      <w:r>
        <w:fldChar w:fldCharType="separate"/>
      </w:r>
      <w:r>
        <w:t>18</w:t>
      </w:r>
      <w:r>
        <w:fldChar w:fldCharType="end"/>
      </w:r>
      <w:r>
        <w:fldChar w:fldCharType="end"/>
      </w:r>
    </w:p>
    <w:p>
      <w:pPr>
        <w:pStyle w:val="18"/>
        <w:tabs>
          <w:tab w:val="right" w:leader="dot" w:pos="8296"/>
        </w:tabs>
        <w:rPr>
          <w:b w:val="0"/>
          <w:bCs w:val="0"/>
          <w:sz w:val="21"/>
          <w:szCs w:val="22"/>
        </w:rPr>
      </w:pPr>
      <w:r>
        <w:fldChar w:fldCharType="begin"/>
      </w:r>
      <w:r>
        <w:instrText xml:space="preserve"> HYPERLINK \l "_Toc471310924" </w:instrText>
      </w:r>
      <w:r>
        <w:fldChar w:fldCharType="separate"/>
      </w:r>
      <w:r>
        <w:rPr>
          <w:rStyle w:val="21"/>
          <w:rFonts w:hint="eastAsia"/>
        </w:rPr>
        <w:t>四、继续深造情况分析</w:t>
      </w:r>
      <w:r>
        <w:tab/>
      </w:r>
      <w:r>
        <w:fldChar w:fldCharType="begin"/>
      </w:r>
      <w:r>
        <w:instrText xml:space="preserve"> PAGEREF _Toc471310924 \h </w:instrText>
      </w:r>
      <w:r>
        <w:fldChar w:fldCharType="separate"/>
      </w:r>
      <w:r>
        <w:t>19</w:t>
      </w:r>
      <w:r>
        <w:fldChar w:fldCharType="end"/>
      </w:r>
      <w:r>
        <w:fldChar w:fldCharType="end"/>
      </w:r>
    </w:p>
    <w:p>
      <w:pPr>
        <w:pStyle w:val="10"/>
        <w:tabs>
          <w:tab w:val="right" w:leader="dot" w:pos="8296"/>
        </w:tabs>
        <w:rPr>
          <w:sz w:val="21"/>
          <w:szCs w:val="22"/>
        </w:rPr>
      </w:pPr>
      <w:r>
        <w:fldChar w:fldCharType="begin"/>
      </w:r>
      <w:r>
        <w:instrText xml:space="preserve"> HYPERLINK \l "_Toc471310925" </w:instrText>
      </w:r>
      <w:r>
        <w:fldChar w:fldCharType="separate"/>
      </w:r>
      <w:r>
        <w:rPr>
          <w:rStyle w:val="21"/>
          <w:rFonts w:hint="eastAsia"/>
        </w:rPr>
        <w:t>（一）升学情况分析</w:t>
      </w:r>
      <w:r>
        <w:tab/>
      </w:r>
      <w:r>
        <w:fldChar w:fldCharType="begin"/>
      </w:r>
      <w:r>
        <w:instrText xml:space="preserve"> PAGEREF _Toc471310925 \h </w:instrText>
      </w:r>
      <w:r>
        <w:fldChar w:fldCharType="separate"/>
      </w:r>
      <w:r>
        <w:t>19</w:t>
      </w:r>
      <w:r>
        <w:fldChar w:fldCharType="end"/>
      </w:r>
      <w:r>
        <w:fldChar w:fldCharType="end"/>
      </w:r>
    </w:p>
    <w:p>
      <w:pPr>
        <w:pStyle w:val="10"/>
        <w:tabs>
          <w:tab w:val="right" w:leader="dot" w:pos="8296"/>
        </w:tabs>
        <w:rPr>
          <w:sz w:val="21"/>
          <w:szCs w:val="22"/>
        </w:rPr>
      </w:pPr>
      <w:r>
        <w:fldChar w:fldCharType="begin"/>
      </w:r>
      <w:r>
        <w:instrText xml:space="preserve"> HYPERLINK \l "_Toc471310926" </w:instrText>
      </w:r>
      <w:r>
        <w:fldChar w:fldCharType="separate"/>
      </w:r>
      <w:r>
        <w:rPr>
          <w:rStyle w:val="21"/>
          <w:rFonts w:hint="eastAsia"/>
        </w:rPr>
        <w:t>（二）出国、出境情况分析</w:t>
      </w:r>
      <w:r>
        <w:tab/>
      </w:r>
      <w:r>
        <w:fldChar w:fldCharType="begin"/>
      </w:r>
      <w:r>
        <w:instrText xml:space="preserve"> PAGEREF _Toc471310926 \h </w:instrText>
      </w:r>
      <w:r>
        <w:fldChar w:fldCharType="separate"/>
      </w:r>
      <w:r>
        <w:t>22</w:t>
      </w:r>
      <w:r>
        <w:fldChar w:fldCharType="end"/>
      </w:r>
      <w:r>
        <w:fldChar w:fldCharType="end"/>
      </w:r>
    </w:p>
    <w:p>
      <w:pPr>
        <w:pStyle w:val="14"/>
        <w:tabs>
          <w:tab w:val="right" w:leader="dot" w:pos="8296"/>
        </w:tabs>
        <w:rPr>
          <w:rFonts w:asciiTheme="minorHAnsi" w:hAnsiTheme="minorHAnsi"/>
          <w:b w:val="0"/>
          <w:bCs w:val="0"/>
          <w:caps w:val="0"/>
          <w:sz w:val="21"/>
          <w:szCs w:val="22"/>
        </w:rPr>
      </w:pPr>
      <w:r>
        <w:fldChar w:fldCharType="begin"/>
      </w:r>
      <w:r>
        <w:instrText xml:space="preserve"> HYPERLINK \l "_Toc471310927" </w:instrText>
      </w:r>
      <w:r>
        <w:fldChar w:fldCharType="separate"/>
      </w:r>
      <w:r>
        <w:rPr>
          <w:rStyle w:val="21"/>
          <w:rFonts w:hint="eastAsia"/>
        </w:rPr>
        <w:t>第三章</w:t>
      </w:r>
      <w:r>
        <w:rPr>
          <w:rStyle w:val="21"/>
        </w:rPr>
        <w:t xml:space="preserve"> </w:t>
      </w:r>
      <w:r>
        <w:rPr>
          <w:rStyle w:val="21"/>
          <w:rFonts w:hint="eastAsia"/>
        </w:rPr>
        <w:t>就业质量相关分析</w:t>
      </w:r>
      <w:r>
        <w:tab/>
      </w:r>
      <w:r>
        <w:fldChar w:fldCharType="begin"/>
      </w:r>
      <w:r>
        <w:instrText xml:space="preserve"> PAGEREF _Toc471310927 \h </w:instrText>
      </w:r>
      <w:r>
        <w:fldChar w:fldCharType="separate"/>
      </w:r>
      <w:r>
        <w:t>25</w:t>
      </w:r>
      <w:r>
        <w:fldChar w:fldCharType="end"/>
      </w:r>
      <w:r>
        <w:fldChar w:fldCharType="end"/>
      </w:r>
    </w:p>
    <w:p>
      <w:pPr>
        <w:pStyle w:val="18"/>
        <w:tabs>
          <w:tab w:val="right" w:leader="dot" w:pos="8296"/>
        </w:tabs>
        <w:rPr>
          <w:b w:val="0"/>
          <w:bCs w:val="0"/>
          <w:sz w:val="21"/>
          <w:szCs w:val="22"/>
        </w:rPr>
      </w:pPr>
      <w:r>
        <w:fldChar w:fldCharType="begin"/>
      </w:r>
      <w:r>
        <w:instrText xml:space="preserve"> HYPERLINK \l "_Toc471310928" </w:instrText>
      </w:r>
      <w:r>
        <w:fldChar w:fldCharType="separate"/>
      </w:r>
      <w:r>
        <w:rPr>
          <w:rStyle w:val="21"/>
          <w:rFonts w:hint="eastAsia"/>
        </w:rPr>
        <w:t>一、已落实就业单位毕业生求职过程分析</w:t>
      </w:r>
      <w:r>
        <w:tab/>
      </w:r>
      <w:r>
        <w:fldChar w:fldCharType="begin"/>
      </w:r>
      <w:r>
        <w:instrText xml:space="preserve"> PAGEREF _Toc471310928 \h </w:instrText>
      </w:r>
      <w:r>
        <w:fldChar w:fldCharType="separate"/>
      </w:r>
      <w:r>
        <w:t>25</w:t>
      </w:r>
      <w:r>
        <w:fldChar w:fldCharType="end"/>
      </w:r>
      <w:r>
        <w:fldChar w:fldCharType="end"/>
      </w:r>
    </w:p>
    <w:p>
      <w:pPr>
        <w:pStyle w:val="10"/>
        <w:tabs>
          <w:tab w:val="right" w:leader="dot" w:pos="8296"/>
        </w:tabs>
        <w:rPr>
          <w:sz w:val="21"/>
          <w:szCs w:val="22"/>
        </w:rPr>
      </w:pPr>
      <w:r>
        <w:fldChar w:fldCharType="begin"/>
      </w:r>
      <w:r>
        <w:instrText xml:space="preserve"> HYPERLINK \l "_Toc471310929" </w:instrText>
      </w:r>
      <w:r>
        <w:fldChar w:fldCharType="separate"/>
      </w:r>
      <w:r>
        <w:rPr>
          <w:rStyle w:val="21"/>
          <w:rFonts w:hint="eastAsia"/>
        </w:rPr>
        <w:t>（一）成功求职途径分析</w:t>
      </w:r>
      <w:r>
        <w:tab/>
      </w:r>
      <w:r>
        <w:fldChar w:fldCharType="begin"/>
      </w:r>
      <w:r>
        <w:instrText xml:space="preserve"> PAGEREF _Toc471310929 \h </w:instrText>
      </w:r>
      <w:r>
        <w:fldChar w:fldCharType="separate"/>
      </w:r>
      <w:r>
        <w:t>25</w:t>
      </w:r>
      <w:r>
        <w:fldChar w:fldCharType="end"/>
      </w:r>
      <w:r>
        <w:fldChar w:fldCharType="end"/>
      </w:r>
    </w:p>
    <w:p>
      <w:pPr>
        <w:pStyle w:val="10"/>
        <w:tabs>
          <w:tab w:val="right" w:leader="dot" w:pos="8296"/>
        </w:tabs>
        <w:rPr>
          <w:sz w:val="21"/>
          <w:szCs w:val="22"/>
        </w:rPr>
      </w:pPr>
      <w:r>
        <w:fldChar w:fldCharType="begin"/>
      </w:r>
      <w:r>
        <w:instrText xml:space="preserve"> HYPERLINK \l "_Toc471310930" </w:instrText>
      </w:r>
      <w:r>
        <w:fldChar w:fldCharType="separate"/>
      </w:r>
      <w:r>
        <w:rPr>
          <w:rStyle w:val="21"/>
          <w:rFonts w:hint="eastAsia"/>
        </w:rPr>
        <w:t>（二）求职花费成本分析</w:t>
      </w:r>
      <w:r>
        <w:tab/>
      </w:r>
      <w:r>
        <w:fldChar w:fldCharType="begin"/>
      </w:r>
      <w:r>
        <w:instrText xml:space="preserve"> PAGEREF _Toc471310930 \h </w:instrText>
      </w:r>
      <w:r>
        <w:fldChar w:fldCharType="separate"/>
      </w:r>
      <w:r>
        <w:t>25</w:t>
      </w:r>
      <w:r>
        <w:fldChar w:fldCharType="end"/>
      </w:r>
      <w:r>
        <w:fldChar w:fldCharType="end"/>
      </w:r>
    </w:p>
    <w:p>
      <w:pPr>
        <w:pStyle w:val="10"/>
        <w:tabs>
          <w:tab w:val="right" w:leader="dot" w:pos="8296"/>
        </w:tabs>
        <w:rPr>
          <w:sz w:val="21"/>
          <w:szCs w:val="22"/>
        </w:rPr>
      </w:pPr>
      <w:r>
        <w:fldChar w:fldCharType="begin"/>
      </w:r>
      <w:r>
        <w:instrText xml:space="preserve"> HYPERLINK \l "_Toc471310931" </w:instrText>
      </w:r>
      <w:r>
        <w:fldChar w:fldCharType="separate"/>
      </w:r>
      <w:r>
        <w:rPr>
          <w:rStyle w:val="21"/>
          <w:rFonts w:hint="eastAsia"/>
        </w:rPr>
        <w:t>（三）求职成功的主要因素分析</w:t>
      </w:r>
      <w:r>
        <w:tab/>
      </w:r>
      <w:r>
        <w:fldChar w:fldCharType="begin"/>
      </w:r>
      <w:r>
        <w:instrText xml:space="preserve"> PAGEREF _Toc471310931 \h </w:instrText>
      </w:r>
      <w:r>
        <w:fldChar w:fldCharType="separate"/>
      </w:r>
      <w:r>
        <w:t>26</w:t>
      </w:r>
      <w:r>
        <w:fldChar w:fldCharType="end"/>
      </w:r>
      <w:r>
        <w:fldChar w:fldCharType="end"/>
      </w:r>
    </w:p>
    <w:p>
      <w:pPr>
        <w:pStyle w:val="10"/>
        <w:tabs>
          <w:tab w:val="right" w:leader="dot" w:pos="8296"/>
        </w:tabs>
        <w:rPr>
          <w:sz w:val="21"/>
          <w:szCs w:val="22"/>
        </w:rPr>
      </w:pPr>
      <w:r>
        <w:fldChar w:fldCharType="begin"/>
      </w:r>
      <w:r>
        <w:instrText xml:space="preserve"> HYPERLINK \l "_Toc471310932" </w:instrText>
      </w:r>
      <w:r>
        <w:fldChar w:fldCharType="separate"/>
      </w:r>
      <w:r>
        <w:rPr>
          <w:rStyle w:val="21"/>
          <w:rFonts w:hint="eastAsia"/>
        </w:rPr>
        <w:t>（四）求职保障</w:t>
      </w:r>
      <w:r>
        <w:tab/>
      </w:r>
      <w:r>
        <w:fldChar w:fldCharType="begin"/>
      </w:r>
      <w:r>
        <w:instrText xml:space="preserve"> PAGEREF _Toc471310932 \h </w:instrText>
      </w:r>
      <w:r>
        <w:fldChar w:fldCharType="separate"/>
      </w:r>
      <w:r>
        <w:t>27</w:t>
      </w:r>
      <w:r>
        <w:fldChar w:fldCharType="end"/>
      </w:r>
      <w:r>
        <w:fldChar w:fldCharType="end"/>
      </w:r>
    </w:p>
    <w:p>
      <w:pPr>
        <w:pStyle w:val="18"/>
        <w:tabs>
          <w:tab w:val="right" w:leader="dot" w:pos="8296"/>
        </w:tabs>
        <w:rPr>
          <w:b w:val="0"/>
          <w:bCs w:val="0"/>
          <w:sz w:val="21"/>
          <w:szCs w:val="22"/>
        </w:rPr>
      </w:pPr>
      <w:r>
        <w:fldChar w:fldCharType="begin"/>
      </w:r>
      <w:r>
        <w:instrText xml:space="preserve"> HYPERLINK \l "_Toc471310933" </w:instrText>
      </w:r>
      <w:r>
        <w:fldChar w:fldCharType="separate"/>
      </w:r>
      <w:r>
        <w:rPr>
          <w:rStyle w:val="21"/>
          <w:rFonts w:hint="eastAsia"/>
        </w:rPr>
        <w:t>二、已落实就业单位毕业生就业质量分析</w:t>
      </w:r>
      <w:r>
        <w:tab/>
      </w:r>
      <w:r>
        <w:fldChar w:fldCharType="begin"/>
      </w:r>
      <w:r>
        <w:instrText xml:space="preserve"> PAGEREF _Toc471310933 \h </w:instrText>
      </w:r>
      <w:r>
        <w:fldChar w:fldCharType="separate"/>
      </w:r>
      <w:r>
        <w:t>27</w:t>
      </w:r>
      <w:r>
        <w:fldChar w:fldCharType="end"/>
      </w:r>
      <w:r>
        <w:fldChar w:fldCharType="end"/>
      </w:r>
    </w:p>
    <w:p>
      <w:pPr>
        <w:pStyle w:val="10"/>
        <w:tabs>
          <w:tab w:val="right" w:leader="dot" w:pos="8296"/>
        </w:tabs>
        <w:rPr>
          <w:sz w:val="21"/>
          <w:szCs w:val="22"/>
        </w:rPr>
      </w:pPr>
      <w:r>
        <w:fldChar w:fldCharType="begin"/>
      </w:r>
      <w:r>
        <w:instrText xml:space="preserve"> HYPERLINK \l "_Toc471310934" </w:instrText>
      </w:r>
      <w:r>
        <w:fldChar w:fldCharType="separate"/>
      </w:r>
      <w:r>
        <w:rPr>
          <w:rStyle w:val="21"/>
          <w:rFonts w:hint="eastAsia"/>
        </w:rPr>
        <w:t>（一）毕业生就业状况满意度</w:t>
      </w:r>
      <w:r>
        <w:tab/>
      </w:r>
      <w:r>
        <w:fldChar w:fldCharType="begin"/>
      </w:r>
      <w:r>
        <w:instrText xml:space="preserve"> PAGEREF _Toc471310934 \h </w:instrText>
      </w:r>
      <w:r>
        <w:fldChar w:fldCharType="separate"/>
      </w:r>
      <w:r>
        <w:t>27</w:t>
      </w:r>
      <w:r>
        <w:fldChar w:fldCharType="end"/>
      </w:r>
      <w:r>
        <w:fldChar w:fldCharType="end"/>
      </w:r>
    </w:p>
    <w:p>
      <w:pPr>
        <w:pStyle w:val="10"/>
        <w:tabs>
          <w:tab w:val="right" w:leader="dot" w:pos="8296"/>
        </w:tabs>
        <w:rPr>
          <w:sz w:val="21"/>
          <w:szCs w:val="22"/>
        </w:rPr>
      </w:pPr>
      <w:r>
        <w:fldChar w:fldCharType="begin"/>
      </w:r>
      <w:r>
        <w:instrText xml:space="preserve"> HYPERLINK \l "_Toc471310935" </w:instrText>
      </w:r>
      <w:r>
        <w:fldChar w:fldCharType="separate"/>
      </w:r>
      <w:r>
        <w:rPr>
          <w:rStyle w:val="21"/>
          <w:rFonts w:hint="eastAsia"/>
        </w:rPr>
        <w:t>（二）薪资情况</w:t>
      </w:r>
      <w:r>
        <w:tab/>
      </w:r>
      <w:r>
        <w:fldChar w:fldCharType="begin"/>
      </w:r>
      <w:r>
        <w:instrText xml:space="preserve"> PAGEREF _Toc471310935 \h </w:instrText>
      </w:r>
      <w:r>
        <w:fldChar w:fldCharType="separate"/>
      </w:r>
      <w:r>
        <w:t>28</w:t>
      </w:r>
      <w:r>
        <w:fldChar w:fldCharType="end"/>
      </w:r>
      <w:r>
        <w:fldChar w:fldCharType="end"/>
      </w:r>
    </w:p>
    <w:p>
      <w:pPr>
        <w:pStyle w:val="10"/>
        <w:tabs>
          <w:tab w:val="right" w:leader="dot" w:pos="8296"/>
        </w:tabs>
        <w:rPr>
          <w:sz w:val="21"/>
          <w:szCs w:val="22"/>
        </w:rPr>
      </w:pPr>
      <w:r>
        <w:fldChar w:fldCharType="begin"/>
      </w:r>
      <w:r>
        <w:instrText xml:space="preserve"> HYPERLINK \l "_Toc471310936" </w:instrText>
      </w:r>
      <w:r>
        <w:fldChar w:fldCharType="separate"/>
      </w:r>
      <w:r>
        <w:rPr>
          <w:rStyle w:val="21"/>
          <w:rFonts w:hint="eastAsia"/>
        </w:rPr>
        <w:t>（三）福利保障</w:t>
      </w:r>
      <w:r>
        <w:tab/>
      </w:r>
      <w:r>
        <w:fldChar w:fldCharType="begin"/>
      </w:r>
      <w:r>
        <w:instrText xml:space="preserve"> PAGEREF _Toc471310936 \h </w:instrText>
      </w:r>
      <w:r>
        <w:fldChar w:fldCharType="separate"/>
      </w:r>
      <w:r>
        <w:t>31</w:t>
      </w:r>
      <w:r>
        <w:fldChar w:fldCharType="end"/>
      </w:r>
      <w:r>
        <w:fldChar w:fldCharType="end"/>
      </w:r>
    </w:p>
    <w:p>
      <w:pPr>
        <w:pStyle w:val="10"/>
        <w:tabs>
          <w:tab w:val="right" w:leader="dot" w:pos="8296"/>
        </w:tabs>
        <w:rPr>
          <w:sz w:val="21"/>
          <w:szCs w:val="22"/>
        </w:rPr>
      </w:pPr>
      <w:r>
        <w:fldChar w:fldCharType="begin"/>
      </w:r>
      <w:r>
        <w:instrText xml:space="preserve"> HYPERLINK \l "_Toc471310937" </w:instrText>
      </w:r>
      <w:r>
        <w:fldChar w:fldCharType="separate"/>
      </w:r>
      <w:r>
        <w:rPr>
          <w:rStyle w:val="21"/>
          <w:rFonts w:hint="eastAsia"/>
        </w:rPr>
        <w:t>（四）专业对口度分析</w:t>
      </w:r>
      <w:r>
        <w:tab/>
      </w:r>
      <w:r>
        <w:fldChar w:fldCharType="begin"/>
      </w:r>
      <w:r>
        <w:instrText xml:space="preserve"> PAGEREF _Toc471310937 \h </w:instrText>
      </w:r>
      <w:r>
        <w:fldChar w:fldCharType="separate"/>
      </w:r>
      <w:r>
        <w:t>32</w:t>
      </w:r>
      <w:r>
        <w:fldChar w:fldCharType="end"/>
      </w:r>
      <w:r>
        <w:fldChar w:fldCharType="end"/>
      </w:r>
    </w:p>
    <w:p>
      <w:pPr>
        <w:pStyle w:val="10"/>
        <w:tabs>
          <w:tab w:val="right" w:leader="dot" w:pos="8296"/>
        </w:tabs>
        <w:rPr>
          <w:sz w:val="21"/>
          <w:szCs w:val="22"/>
        </w:rPr>
      </w:pPr>
      <w:r>
        <w:fldChar w:fldCharType="begin"/>
      </w:r>
      <w:r>
        <w:instrText xml:space="preserve"> HYPERLINK \l "_Toc471310938" </w:instrText>
      </w:r>
      <w:r>
        <w:fldChar w:fldCharType="separate"/>
      </w:r>
      <w:r>
        <w:rPr>
          <w:rStyle w:val="21"/>
          <w:rFonts w:hint="eastAsia"/>
        </w:rPr>
        <w:t>（五）职业与理想吻合度</w:t>
      </w:r>
      <w:r>
        <w:tab/>
      </w:r>
      <w:r>
        <w:fldChar w:fldCharType="begin"/>
      </w:r>
      <w:r>
        <w:instrText xml:space="preserve"> PAGEREF _Toc471310938 \h </w:instrText>
      </w:r>
      <w:r>
        <w:fldChar w:fldCharType="separate"/>
      </w:r>
      <w:r>
        <w:t>33</w:t>
      </w:r>
      <w:r>
        <w:fldChar w:fldCharType="end"/>
      </w:r>
      <w:r>
        <w:fldChar w:fldCharType="end"/>
      </w:r>
    </w:p>
    <w:p>
      <w:pPr>
        <w:pStyle w:val="10"/>
        <w:tabs>
          <w:tab w:val="right" w:leader="dot" w:pos="8296"/>
        </w:tabs>
        <w:rPr>
          <w:sz w:val="21"/>
          <w:szCs w:val="22"/>
        </w:rPr>
      </w:pPr>
      <w:r>
        <w:fldChar w:fldCharType="begin"/>
      </w:r>
      <w:r>
        <w:instrText xml:space="preserve"> HYPERLINK \l "_Toc471310939" </w:instrText>
      </w:r>
      <w:r>
        <w:fldChar w:fldCharType="separate"/>
      </w:r>
      <w:r>
        <w:rPr>
          <w:rStyle w:val="21"/>
          <w:rFonts w:hint="eastAsia"/>
        </w:rPr>
        <w:t>（六）调换工作情况</w:t>
      </w:r>
      <w:r>
        <w:tab/>
      </w:r>
      <w:r>
        <w:fldChar w:fldCharType="begin"/>
      </w:r>
      <w:r>
        <w:instrText xml:space="preserve"> PAGEREF _Toc471310939 \h </w:instrText>
      </w:r>
      <w:r>
        <w:fldChar w:fldCharType="separate"/>
      </w:r>
      <w:r>
        <w:t>34</w:t>
      </w:r>
      <w:r>
        <w:fldChar w:fldCharType="end"/>
      </w:r>
      <w:r>
        <w:fldChar w:fldCharType="end"/>
      </w:r>
    </w:p>
    <w:p>
      <w:pPr>
        <w:pStyle w:val="10"/>
        <w:tabs>
          <w:tab w:val="right" w:leader="dot" w:pos="8296"/>
        </w:tabs>
        <w:rPr>
          <w:sz w:val="21"/>
          <w:szCs w:val="22"/>
        </w:rPr>
      </w:pPr>
      <w:r>
        <w:fldChar w:fldCharType="begin"/>
      </w:r>
      <w:r>
        <w:instrText xml:space="preserve"> HYPERLINK \l "_Toc471310940" </w:instrText>
      </w:r>
      <w:r>
        <w:fldChar w:fldCharType="separate"/>
      </w:r>
      <w:r>
        <w:rPr>
          <w:rStyle w:val="21"/>
          <w:rFonts w:hint="eastAsia"/>
        </w:rPr>
        <w:t>（七）毕业生就业质量模型分析</w:t>
      </w:r>
      <w:r>
        <w:tab/>
      </w:r>
      <w:r>
        <w:fldChar w:fldCharType="begin"/>
      </w:r>
      <w:r>
        <w:instrText xml:space="preserve"> PAGEREF _Toc471310940 \h </w:instrText>
      </w:r>
      <w:r>
        <w:fldChar w:fldCharType="separate"/>
      </w:r>
      <w:r>
        <w:t>35</w:t>
      </w:r>
      <w:r>
        <w:fldChar w:fldCharType="end"/>
      </w:r>
      <w:r>
        <w:fldChar w:fldCharType="end"/>
      </w:r>
    </w:p>
    <w:p>
      <w:pPr>
        <w:pStyle w:val="18"/>
        <w:tabs>
          <w:tab w:val="right" w:leader="dot" w:pos="8296"/>
        </w:tabs>
        <w:rPr>
          <w:b w:val="0"/>
          <w:bCs w:val="0"/>
          <w:sz w:val="21"/>
          <w:szCs w:val="22"/>
        </w:rPr>
      </w:pPr>
      <w:r>
        <w:fldChar w:fldCharType="begin"/>
      </w:r>
      <w:r>
        <w:instrText xml:space="preserve"> HYPERLINK \l "_Toc471310941" </w:instrText>
      </w:r>
      <w:r>
        <w:fldChar w:fldCharType="separate"/>
      </w:r>
      <w:r>
        <w:rPr>
          <w:rStyle w:val="21"/>
          <w:rFonts w:hint="eastAsia"/>
        </w:rPr>
        <w:t>三、自主创业分析</w:t>
      </w:r>
      <w:r>
        <w:tab/>
      </w:r>
      <w:r>
        <w:fldChar w:fldCharType="begin"/>
      </w:r>
      <w:r>
        <w:instrText xml:space="preserve"> PAGEREF _Toc471310941 \h </w:instrText>
      </w:r>
      <w:r>
        <w:fldChar w:fldCharType="separate"/>
      </w:r>
      <w:r>
        <w:t>40</w:t>
      </w:r>
      <w:r>
        <w:fldChar w:fldCharType="end"/>
      </w:r>
      <w:r>
        <w:fldChar w:fldCharType="end"/>
      </w:r>
    </w:p>
    <w:p>
      <w:pPr>
        <w:pStyle w:val="10"/>
        <w:tabs>
          <w:tab w:val="right" w:leader="dot" w:pos="8296"/>
        </w:tabs>
        <w:rPr>
          <w:sz w:val="21"/>
          <w:szCs w:val="22"/>
        </w:rPr>
      </w:pPr>
      <w:r>
        <w:fldChar w:fldCharType="begin"/>
      </w:r>
      <w:r>
        <w:instrText xml:space="preserve"> HYPERLINK \l "_Toc471310942" </w:instrText>
      </w:r>
      <w:r>
        <w:fldChar w:fldCharType="separate"/>
      </w:r>
      <w:r>
        <w:rPr>
          <w:rStyle w:val="21"/>
          <w:rFonts w:hint="eastAsia"/>
        </w:rPr>
        <w:t>（一）自主创业原因</w:t>
      </w:r>
      <w:r>
        <w:tab/>
      </w:r>
      <w:r>
        <w:fldChar w:fldCharType="begin"/>
      </w:r>
      <w:r>
        <w:instrText xml:space="preserve"> PAGEREF _Toc471310942 \h </w:instrText>
      </w:r>
      <w:r>
        <w:fldChar w:fldCharType="separate"/>
      </w:r>
      <w:r>
        <w:t>40</w:t>
      </w:r>
      <w:r>
        <w:fldChar w:fldCharType="end"/>
      </w:r>
      <w:r>
        <w:fldChar w:fldCharType="end"/>
      </w:r>
    </w:p>
    <w:p>
      <w:pPr>
        <w:pStyle w:val="10"/>
        <w:tabs>
          <w:tab w:val="right" w:leader="dot" w:pos="8296"/>
        </w:tabs>
        <w:rPr>
          <w:sz w:val="21"/>
          <w:szCs w:val="22"/>
        </w:rPr>
      </w:pPr>
      <w:r>
        <w:fldChar w:fldCharType="begin"/>
      </w:r>
      <w:r>
        <w:instrText xml:space="preserve"> HYPERLINK \l "_Toc471310943" </w:instrText>
      </w:r>
      <w:r>
        <w:fldChar w:fldCharType="separate"/>
      </w:r>
      <w:r>
        <w:rPr>
          <w:rStyle w:val="21"/>
          <w:rFonts w:hint="eastAsia"/>
        </w:rPr>
        <w:t>（二）自主创业行业</w:t>
      </w:r>
      <w:r>
        <w:tab/>
      </w:r>
      <w:r>
        <w:fldChar w:fldCharType="begin"/>
      </w:r>
      <w:r>
        <w:instrText xml:space="preserve"> PAGEREF _Toc471310943 \h </w:instrText>
      </w:r>
      <w:r>
        <w:fldChar w:fldCharType="separate"/>
      </w:r>
      <w:r>
        <w:t>40</w:t>
      </w:r>
      <w:r>
        <w:fldChar w:fldCharType="end"/>
      </w:r>
      <w:r>
        <w:fldChar w:fldCharType="end"/>
      </w:r>
    </w:p>
    <w:p>
      <w:pPr>
        <w:pStyle w:val="10"/>
        <w:tabs>
          <w:tab w:val="right" w:leader="dot" w:pos="8296"/>
        </w:tabs>
        <w:rPr>
          <w:sz w:val="21"/>
          <w:szCs w:val="22"/>
        </w:rPr>
      </w:pPr>
      <w:r>
        <w:fldChar w:fldCharType="begin"/>
      </w:r>
      <w:r>
        <w:instrText xml:space="preserve"> HYPERLINK \l "_Toc471310944" </w:instrText>
      </w:r>
      <w:r>
        <w:fldChar w:fldCharType="separate"/>
      </w:r>
      <w:r>
        <w:rPr>
          <w:rStyle w:val="21"/>
          <w:rFonts w:hint="eastAsia"/>
        </w:rPr>
        <w:t>（三）自主创业资金来源</w:t>
      </w:r>
      <w:r>
        <w:tab/>
      </w:r>
      <w:r>
        <w:fldChar w:fldCharType="begin"/>
      </w:r>
      <w:r>
        <w:instrText xml:space="preserve"> PAGEREF _Toc471310944 \h </w:instrText>
      </w:r>
      <w:r>
        <w:fldChar w:fldCharType="separate"/>
      </w:r>
      <w:r>
        <w:t>41</w:t>
      </w:r>
      <w:r>
        <w:fldChar w:fldCharType="end"/>
      </w:r>
      <w:r>
        <w:fldChar w:fldCharType="end"/>
      </w:r>
    </w:p>
    <w:p>
      <w:pPr>
        <w:pStyle w:val="10"/>
        <w:tabs>
          <w:tab w:val="right" w:leader="dot" w:pos="8296"/>
        </w:tabs>
        <w:rPr>
          <w:sz w:val="21"/>
          <w:szCs w:val="22"/>
        </w:rPr>
      </w:pPr>
      <w:r>
        <w:fldChar w:fldCharType="begin"/>
      </w:r>
      <w:r>
        <w:instrText xml:space="preserve"> HYPERLINK \l "_Toc471310945" </w:instrText>
      </w:r>
      <w:r>
        <w:fldChar w:fldCharType="separate"/>
      </w:r>
      <w:r>
        <w:rPr>
          <w:rStyle w:val="21"/>
          <w:rFonts w:hint="eastAsia"/>
        </w:rPr>
        <w:t>（四）自主创业遇到的困难</w:t>
      </w:r>
      <w:r>
        <w:tab/>
      </w:r>
      <w:r>
        <w:fldChar w:fldCharType="begin"/>
      </w:r>
      <w:r>
        <w:instrText xml:space="preserve"> PAGEREF _Toc471310945 \h </w:instrText>
      </w:r>
      <w:r>
        <w:fldChar w:fldCharType="separate"/>
      </w:r>
      <w:r>
        <w:t>42</w:t>
      </w:r>
      <w:r>
        <w:fldChar w:fldCharType="end"/>
      </w:r>
      <w:r>
        <w:fldChar w:fldCharType="end"/>
      </w:r>
    </w:p>
    <w:p>
      <w:pPr>
        <w:pStyle w:val="18"/>
        <w:tabs>
          <w:tab w:val="right" w:leader="dot" w:pos="8296"/>
        </w:tabs>
        <w:rPr>
          <w:b w:val="0"/>
          <w:bCs w:val="0"/>
          <w:sz w:val="21"/>
          <w:szCs w:val="22"/>
        </w:rPr>
      </w:pPr>
      <w:r>
        <w:fldChar w:fldCharType="begin"/>
      </w:r>
      <w:r>
        <w:instrText xml:space="preserve"> HYPERLINK \l "_Toc471310946" </w:instrText>
      </w:r>
      <w:r>
        <w:fldChar w:fldCharType="separate"/>
      </w:r>
      <w:r>
        <w:rPr>
          <w:rStyle w:val="21"/>
          <w:rFonts w:hint="eastAsia"/>
        </w:rPr>
        <w:t>四、继续深造与出国分析</w:t>
      </w:r>
      <w:r>
        <w:tab/>
      </w:r>
      <w:r>
        <w:fldChar w:fldCharType="begin"/>
      </w:r>
      <w:r>
        <w:instrText xml:space="preserve"> PAGEREF _Toc471310946 \h </w:instrText>
      </w:r>
      <w:r>
        <w:fldChar w:fldCharType="separate"/>
      </w:r>
      <w:r>
        <w:t>42</w:t>
      </w:r>
      <w:r>
        <w:fldChar w:fldCharType="end"/>
      </w:r>
      <w:r>
        <w:fldChar w:fldCharType="end"/>
      </w:r>
    </w:p>
    <w:p>
      <w:pPr>
        <w:pStyle w:val="10"/>
        <w:tabs>
          <w:tab w:val="right" w:leader="dot" w:pos="8296"/>
        </w:tabs>
        <w:rPr>
          <w:sz w:val="21"/>
          <w:szCs w:val="22"/>
        </w:rPr>
      </w:pPr>
      <w:r>
        <w:fldChar w:fldCharType="begin"/>
      </w:r>
      <w:r>
        <w:instrText xml:space="preserve"> HYPERLINK \l "_Toc471310947" </w:instrText>
      </w:r>
      <w:r>
        <w:fldChar w:fldCharType="separate"/>
      </w:r>
      <w:r>
        <w:rPr>
          <w:rStyle w:val="21"/>
          <w:rFonts w:hint="eastAsia"/>
        </w:rPr>
        <w:t>（一）继续深造与出国原因</w:t>
      </w:r>
      <w:r>
        <w:tab/>
      </w:r>
      <w:r>
        <w:fldChar w:fldCharType="begin"/>
      </w:r>
      <w:r>
        <w:instrText xml:space="preserve"> PAGEREF _Toc471310947 \h </w:instrText>
      </w:r>
      <w:r>
        <w:fldChar w:fldCharType="separate"/>
      </w:r>
      <w:r>
        <w:t>42</w:t>
      </w:r>
      <w:r>
        <w:fldChar w:fldCharType="end"/>
      </w:r>
      <w:r>
        <w:fldChar w:fldCharType="end"/>
      </w:r>
    </w:p>
    <w:p>
      <w:pPr>
        <w:pStyle w:val="10"/>
        <w:tabs>
          <w:tab w:val="right" w:leader="dot" w:pos="8296"/>
        </w:tabs>
        <w:rPr>
          <w:sz w:val="21"/>
          <w:szCs w:val="22"/>
        </w:rPr>
      </w:pPr>
      <w:r>
        <w:fldChar w:fldCharType="begin"/>
      </w:r>
      <w:r>
        <w:instrText xml:space="preserve"> HYPERLINK \l "_Toc471310948" </w:instrText>
      </w:r>
      <w:r>
        <w:fldChar w:fldCharType="separate"/>
      </w:r>
      <w:r>
        <w:rPr>
          <w:rStyle w:val="21"/>
          <w:rFonts w:hint="eastAsia"/>
        </w:rPr>
        <w:t>（二）继续深造与出国类型</w:t>
      </w:r>
      <w:r>
        <w:tab/>
      </w:r>
      <w:r>
        <w:fldChar w:fldCharType="begin"/>
      </w:r>
      <w:r>
        <w:instrText xml:space="preserve"> PAGEREF _Toc471310948 \h </w:instrText>
      </w:r>
      <w:r>
        <w:fldChar w:fldCharType="separate"/>
      </w:r>
      <w:r>
        <w:t>43</w:t>
      </w:r>
      <w:r>
        <w:fldChar w:fldCharType="end"/>
      </w:r>
      <w:r>
        <w:fldChar w:fldCharType="end"/>
      </w:r>
    </w:p>
    <w:p>
      <w:pPr>
        <w:pStyle w:val="18"/>
        <w:tabs>
          <w:tab w:val="right" w:leader="dot" w:pos="8296"/>
        </w:tabs>
        <w:rPr>
          <w:b w:val="0"/>
          <w:bCs w:val="0"/>
          <w:sz w:val="21"/>
          <w:szCs w:val="22"/>
        </w:rPr>
      </w:pPr>
      <w:r>
        <w:fldChar w:fldCharType="begin"/>
      </w:r>
      <w:r>
        <w:instrText xml:space="preserve"> HYPERLINK \l "_Toc471310949" </w:instrText>
      </w:r>
      <w:r>
        <w:fldChar w:fldCharType="separate"/>
      </w:r>
      <w:r>
        <w:rPr>
          <w:rStyle w:val="21"/>
          <w:rFonts w:hint="eastAsia"/>
        </w:rPr>
        <w:t>五、未就业分析</w:t>
      </w:r>
      <w:r>
        <w:tab/>
      </w:r>
      <w:r>
        <w:fldChar w:fldCharType="begin"/>
      </w:r>
      <w:r>
        <w:instrText xml:space="preserve"> PAGEREF _Toc471310949 \h </w:instrText>
      </w:r>
      <w:r>
        <w:fldChar w:fldCharType="separate"/>
      </w:r>
      <w:r>
        <w:t>44</w:t>
      </w:r>
      <w:r>
        <w:fldChar w:fldCharType="end"/>
      </w:r>
      <w:r>
        <w:fldChar w:fldCharType="end"/>
      </w:r>
    </w:p>
    <w:p>
      <w:pPr>
        <w:pStyle w:val="10"/>
        <w:tabs>
          <w:tab w:val="right" w:leader="dot" w:pos="8296"/>
        </w:tabs>
        <w:rPr>
          <w:sz w:val="21"/>
          <w:szCs w:val="22"/>
        </w:rPr>
      </w:pPr>
      <w:r>
        <w:fldChar w:fldCharType="begin"/>
      </w:r>
      <w:r>
        <w:instrText xml:space="preserve"> HYPERLINK \l "_Toc471310950" </w:instrText>
      </w:r>
      <w:r>
        <w:fldChar w:fldCharType="separate"/>
      </w:r>
      <w:r>
        <w:rPr>
          <w:rStyle w:val="21"/>
          <w:rFonts w:hint="eastAsia"/>
        </w:rPr>
        <w:t>（一）求职中主要关注的因素分析</w:t>
      </w:r>
      <w:r>
        <w:tab/>
      </w:r>
      <w:r>
        <w:fldChar w:fldCharType="begin"/>
      </w:r>
      <w:r>
        <w:instrText xml:space="preserve"> PAGEREF _Toc471310950 \h </w:instrText>
      </w:r>
      <w:r>
        <w:fldChar w:fldCharType="separate"/>
      </w:r>
      <w:r>
        <w:t>44</w:t>
      </w:r>
      <w:r>
        <w:fldChar w:fldCharType="end"/>
      </w:r>
      <w:r>
        <w:fldChar w:fldCharType="end"/>
      </w:r>
    </w:p>
    <w:p>
      <w:pPr>
        <w:pStyle w:val="10"/>
        <w:tabs>
          <w:tab w:val="right" w:leader="dot" w:pos="8296"/>
        </w:tabs>
        <w:rPr>
          <w:sz w:val="21"/>
          <w:szCs w:val="22"/>
        </w:rPr>
      </w:pPr>
      <w:r>
        <w:fldChar w:fldCharType="begin"/>
      </w:r>
      <w:r>
        <w:instrText xml:space="preserve"> HYPERLINK \l "_Toc471310951" </w:instrText>
      </w:r>
      <w:r>
        <w:fldChar w:fldCharType="separate"/>
      </w:r>
      <w:r>
        <w:rPr>
          <w:rStyle w:val="21"/>
          <w:rFonts w:hint="eastAsia"/>
        </w:rPr>
        <w:t>（二）求职遇到的困难</w:t>
      </w:r>
      <w:r>
        <w:tab/>
      </w:r>
      <w:r>
        <w:fldChar w:fldCharType="begin"/>
      </w:r>
      <w:r>
        <w:instrText xml:space="preserve"> PAGEREF _Toc471310951 \h </w:instrText>
      </w:r>
      <w:r>
        <w:fldChar w:fldCharType="separate"/>
      </w:r>
      <w:r>
        <w:t>44</w:t>
      </w:r>
      <w:r>
        <w:fldChar w:fldCharType="end"/>
      </w:r>
      <w:r>
        <w:fldChar w:fldCharType="end"/>
      </w:r>
    </w:p>
    <w:p>
      <w:pPr>
        <w:pStyle w:val="10"/>
        <w:tabs>
          <w:tab w:val="right" w:leader="dot" w:pos="8296"/>
        </w:tabs>
        <w:rPr>
          <w:sz w:val="21"/>
          <w:szCs w:val="22"/>
        </w:rPr>
      </w:pPr>
      <w:r>
        <w:fldChar w:fldCharType="begin"/>
      </w:r>
      <w:r>
        <w:instrText xml:space="preserve"> HYPERLINK \l "_Toc471310952" </w:instrText>
      </w:r>
      <w:r>
        <w:fldChar w:fldCharType="separate"/>
      </w:r>
      <w:r>
        <w:rPr>
          <w:rStyle w:val="21"/>
          <w:rFonts w:hint="eastAsia"/>
        </w:rPr>
        <w:t>（三）尚未就业原因</w:t>
      </w:r>
      <w:r>
        <w:tab/>
      </w:r>
      <w:r>
        <w:fldChar w:fldCharType="begin"/>
      </w:r>
      <w:r>
        <w:instrText xml:space="preserve"> PAGEREF _Toc471310952 \h </w:instrText>
      </w:r>
      <w:r>
        <w:fldChar w:fldCharType="separate"/>
      </w:r>
      <w:r>
        <w:t>45</w:t>
      </w:r>
      <w:r>
        <w:fldChar w:fldCharType="end"/>
      </w:r>
      <w:r>
        <w:fldChar w:fldCharType="end"/>
      </w:r>
    </w:p>
    <w:p>
      <w:pPr>
        <w:pStyle w:val="10"/>
        <w:tabs>
          <w:tab w:val="right" w:leader="dot" w:pos="8296"/>
        </w:tabs>
        <w:rPr>
          <w:sz w:val="21"/>
          <w:szCs w:val="22"/>
        </w:rPr>
      </w:pPr>
      <w:r>
        <w:fldChar w:fldCharType="begin"/>
      </w:r>
      <w:r>
        <w:instrText xml:space="preserve"> HYPERLINK \l "_Toc471310953" </w:instrText>
      </w:r>
      <w:r>
        <w:fldChar w:fldCharType="separate"/>
      </w:r>
      <w:r>
        <w:rPr>
          <w:rStyle w:val="21"/>
          <w:rFonts w:hint="eastAsia"/>
        </w:rPr>
        <w:t>（四）择业定位</w:t>
      </w:r>
      <w:r>
        <w:tab/>
      </w:r>
      <w:r>
        <w:fldChar w:fldCharType="begin"/>
      </w:r>
      <w:r>
        <w:instrText xml:space="preserve"> PAGEREF _Toc471310953 \h </w:instrText>
      </w:r>
      <w:r>
        <w:fldChar w:fldCharType="separate"/>
      </w:r>
      <w:r>
        <w:t>46</w:t>
      </w:r>
      <w:r>
        <w:fldChar w:fldCharType="end"/>
      </w:r>
      <w:r>
        <w:fldChar w:fldCharType="end"/>
      </w:r>
    </w:p>
    <w:p>
      <w:pPr>
        <w:pStyle w:val="10"/>
        <w:tabs>
          <w:tab w:val="right" w:leader="dot" w:pos="8296"/>
        </w:tabs>
        <w:rPr>
          <w:sz w:val="21"/>
          <w:szCs w:val="22"/>
        </w:rPr>
      </w:pPr>
      <w:r>
        <w:fldChar w:fldCharType="begin"/>
      </w:r>
      <w:r>
        <w:instrText xml:space="preserve"> HYPERLINK \l "_Toc471310954" </w:instrText>
      </w:r>
      <w:r>
        <w:fldChar w:fldCharType="separate"/>
      </w:r>
      <w:r>
        <w:rPr>
          <w:rStyle w:val="21"/>
          <w:rFonts w:hint="eastAsia"/>
        </w:rPr>
        <w:t>（五）就业地域选择</w:t>
      </w:r>
      <w:r>
        <w:tab/>
      </w:r>
      <w:r>
        <w:fldChar w:fldCharType="begin"/>
      </w:r>
      <w:r>
        <w:instrText xml:space="preserve"> PAGEREF _Toc471310954 \h </w:instrText>
      </w:r>
      <w:r>
        <w:fldChar w:fldCharType="separate"/>
      </w:r>
      <w:r>
        <w:t>46</w:t>
      </w:r>
      <w:r>
        <w:fldChar w:fldCharType="end"/>
      </w:r>
      <w:r>
        <w:fldChar w:fldCharType="end"/>
      </w:r>
    </w:p>
    <w:p>
      <w:pPr>
        <w:pStyle w:val="14"/>
        <w:tabs>
          <w:tab w:val="right" w:leader="dot" w:pos="8296"/>
        </w:tabs>
        <w:rPr>
          <w:rFonts w:asciiTheme="minorHAnsi" w:hAnsiTheme="minorHAnsi"/>
          <w:b w:val="0"/>
          <w:bCs w:val="0"/>
          <w:caps w:val="0"/>
          <w:sz w:val="21"/>
          <w:szCs w:val="22"/>
        </w:rPr>
      </w:pPr>
      <w:r>
        <w:fldChar w:fldCharType="begin"/>
      </w:r>
      <w:r>
        <w:instrText xml:space="preserve"> HYPERLINK \l "_Toc471310955" </w:instrText>
      </w:r>
      <w:r>
        <w:fldChar w:fldCharType="separate"/>
      </w:r>
      <w:r>
        <w:rPr>
          <w:rStyle w:val="21"/>
          <w:rFonts w:hint="eastAsia"/>
        </w:rPr>
        <w:t>第四章</w:t>
      </w:r>
      <w:r>
        <w:rPr>
          <w:rStyle w:val="21"/>
        </w:rPr>
        <w:t xml:space="preserve"> </w:t>
      </w:r>
      <w:r>
        <w:rPr>
          <w:rStyle w:val="21"/>
          <w:rFonts w:hint="eastAsia"/>
        </w:rPr>
        <w:t>毕业生就业趋势分析</w:t>
      </w:r>
      <w:r>
        <w:tab/>
      </w:r>
      <w:r>
        <w:fldChar w:fldCharType="begin"/>
      </w:r>
      <w:r>
        <w:instrText xml:space="preserve"> PAGEREF _Toc471310955 \h </w:instrText>
      </w:r>
      <w:r>
        <w:fldChar w:fldCharType="separate"/>
      </w:r>
      <w:r>
        <w:t>48</w:t>
      </w:r>
      <w:r>
        <w:fldChar w:fldCharType="end"/>
      </w:r>
      <w:r>
        <w:fldChar w:fldCharType="end"/>
      </w:r>
    </w:p>
    <w:p>
      <w:pPr>
        <w:pStyle w:val="18"/>
        <w:tabs>
          <w:tab w:val="right" w:leader="dot" w:pos="8296"/>
        </w:tabs>
        <w:rPr>
          <w:b w:val="0"/>
          <w:bCs w:val="0"/>
          <w:sz w:val="21"/>
          <w:szCs w:val="22"/>
        </w:rPr>
      </w:pPr>
      <w:r>
        <w:fldChar w:fldCharType="begin"/>
      </w:r>
      <w:r>
        <w:instrText xml:space="preserve"> HYPERLINK \l "_Toc471310956" </w:instrText>
      </w:r>
      <w:r>
        <w:fldChar w:fldCharType="separate"/>
      </w:r>
      <w:r>
        <w:rPr>
          <w:rStyle w:val="21"/>
          <w:rFonts w:hint="eastAsia"/>
        </w:rPr>
        <w:t>一、</w:t>
      </w:r>
      <w:r>
        <w:rPr>
          <w:rStyle w:val="21"/>
        </w:rPr>
        <w:t>2013-2016</w:t>
      </w:r>
      <w:r>
        <w:rPr>
          <w:rStyle w:val="21"/>
          <w:rFonts w:hint="eastAsia"/>
        </w:rPr>
        <w:t>届毕业生初次就业率发展趋势分析</w:t>
      </w:r>
      <w:r>
        <w:tab/>
      </w:r>
      <w:r>
        <w:fldChar w:fldCharType="begin"/>
      </w:r>
      <w:r>
        <w:instrText xml:space="preserve"> PAGEREF _Toc471310956 \h </w:instrText>
      </w:r>
      <w:r>
        <w:fldChar w:fldCharType="separate"/>
      </w:r>
      <w:r>
        <w:t>48</w:t>
      </w:r>
      <w:r>
        <w:fldChar w:fldCharType="end"/>
      </w:r>
      <w:r>
        <w:fldChar w:fldCharType="end"/>
      </w:r>
    </w:p>
    <w:p>
      <w:pPr>
        <w:pStyle w:val="18"/>
        <w:tabs>
          <w:tab w:val="right" w:leader="dot" w:pos="8296"/>
        </w:tabs>
        <w:rPr>
          <w:b w:val="0"/>
          <w:bCs w:val="0"/>
          <w:sz w:val="21"/>
          <w:szCs w:val="22"/>
        </w:rPr>
      </w:pPr>
      <w:r>
        <w:fldChar w:fldCharType="begin"/>
      </w:r>
      <w:r>
        <w:instrText xml:space="preserve"> HYPERLINK \l "_Toc471310957" </w:instrText>
      </w:r>
      <w:r>
        <w:fldChar w:fldCharType="separate"/>
      </w:r>
      <w:r>
        <w:rPr>
          <w:rStyle w:val="21"/>
          <w:rFonts w:hint="eastAsia"/>
        </w:rPr>
        <w:t>二、</w:t>
      </w:r>
      <w:r>
        <w:rPr>
          <w:rStyle w:val="21"/>
        </w:rPr>
        <w:t>2013-2016</w:t>
      </w:r>
      <w:r>
        <w:rPr>
          <w:rStyle w:val="21"/>
          <w:rFonts w:hint="eastAsia"/>
        </w:rPr>
        <w:t>届毕业生分学历初次就业率发展趋势分析</w:t>
      </w:r>
      <w:r>
        <w:tab/>
      </w:r>
      <w:r>
        <w:fldChar w:fldCharType="begin"/>
      </w:r>
      <w:r>
        <w:instrText xml:space="preserve"> PAGEREF _Toc471310957 \h </w:instrText>
      </w:r>
      <w:r>
        <w:fldChar w:fldCharType="separate"/>
      </w:r>
      <w:r>
        <w:t>48</w:t>
      </w:r>
      <w:r>
        <w:fldChar w:fldCharType="end"/>
      </w:r>
      <w:r>
        <w:fldChar w:fldCharType="end"/>
      </w:r>
    </w:p>
    <w:p>
      <w:pPr>
        <w:pStyle w:val="18"/>
        <w:tabs>
          <w:tab w:val="right" w:leader="dot" w:pos="8296"/>
        </w:tabs>
        <w:rPr>
          <w:b w:val="0"/>
          <w:bCs w:val="0"/>
          <w:sz w:val="21"/>
          <w:szCs w:val="22"/>
        </w:rPr>
      </w:pPr>
      <w:r>
        <w:fldChar w:fldCharType="begin"/>
      </w:r>
      <w:r>
        <w:instrText xml:space="preserve"> HYPERLINK \l "_Toc471310958" </w:instrText>
      </w:r>
      <w:r>
        <w:fldChar w:fldCharType="separate"/>
      </w:r>
      <w:r>
        <w:rPr>
          <w:rStyle w:val="21"/>
          <w:rFonts w:hint="eastAsia"/>
        </w:rPr>
        <w:t>三、</w:t>
      </w:r>
      <w:r>
        <w:rPr>
          <w:rStyle w:val="21"/>
        </w:rPr>
        <w:t>2013-2016</w:t>
      </w:r>
      <w:r>
        <w:rPr>
          <w:rStyle w:val="21"/>
          <w:rFonts w:hint="eastAsia"/>
        </w:rPr>
        <w:t>届毕业生分学院初次就业率发展趋势分析</w:t>
      </w:r>
      <w:r>
        <w:tab/>
      </w:r>
      <w:r>
        <w:fldChar w:fldCharType="begin"/>
      </w:r>
      <w:r>
        <w:instrText xml:space="preserve"> PAGEREF _Toc471310958 \h </w:instrText>
      </w:r>
      <w:r>
        <w:fldChar w:fldCharType="separate"/>
      </w:r>
      <w:r>
        <w:t>49</w:t>
      </w:r>
      <w:r>
        <w:fldChar w:fldCharType="end"/>
      </w:r>
      <w:r>
        <w:fldChar w:fldCharType="end"/>
      </w:r>
    </w:p>
    <w:p>
      <w:pPr>
        <w:pStyle w:val="18"/>
        <w:tabs>
          <w:tab w:val="right" w:leader="dot" w:pos="8296"/>
        </w:tabs>
        <w:rPr>
          <w:b w:val="0"/>
          <w:bCs w:val="0"/>
          <w:sz w:val="21"/>
          <w:szCs w:val="22"/>
        </w:rPr>
      </w:pPr>
      <w:r>
        <w:fldChar w:fldCharType="begin"/>
      </w:r>
      <w:r>
        <w:instrText xml:space="preserve"> HYPERLINK \l "_Toc471310959" </w:instrText>
      </w:r>
      <w:r>
        <w:fldChar w:fldCharType="separate"/>
      </w:r>
      <w:r>
        <w:rPr>
          <w:rStyle w:val="21"/>
          <w:rFonts w:hint="eastAsia"/>
        </w:rPr>
        <w:t>四、</w:t>
      </w:r>
      <w:r>
        <w:rPr>
          <w:rStyle w:val="21"/>
        </w:rPr>
        <w:t>2013-2016</w:t>
      </w:r>
      <w:r>
        <w:rPr>
          <w:rStyle w:val="21"/>
          <w:rFonts w:hint="eastAsia"/>
        </w:rPr>
        <w:t>届毕业生专业初次就业率发展趋势分析</w:t>
      </w:r>
      <w:r>
        <w:tab/>
      </w:r>
      <w:r>
        <w:fldChar w:fldCharType="begin"/>
      </w:r>
      <w:r>
        <w:instrText xml:space="preserve"> PAGEREF _Toc471310959 \h </w:instrText>
      </w:r>
      <w:r>
        <w:fldChar w:fldCharType="separate"/>
      </w:r>
      <w:r>
        <w:t>50</w:t>
      </w:r>
      <w:r>
        <w:fldChar w:fldCharType="end"/>
      </w:r>
      <w:r>
        <w:fldChar w:fldCharType="end"/>
      </w:r>
    </w:p>
    <w:p>
      <w:pPr>
        <w:pStyle w:val="14"/>
        <w:tabs>
          <w:tab w:val="right" w:leader="dot" w:pos="8296"/>
        </w:tabs>
        <w:rPr>
          <w:rFonts w:asciiTheme="minorHAnsi" w:hAnsiTheme="minorHAnsi"/>
          <w:b w:val="0"/>
          <w:bCs w:val="0"/>
          <w:caps w:val="0"/>
          <w:sz w:val="21"/>
          <w:szCs w:val="22"/>
        </w:rPr>
      </w:pPr>
      <w:r>
        <w:fldChar w:fldCharType="begin"/>
      </w:r>
      <w:r>
        <w:instrText xml:space="preserve"> HYPERLINK \l "_Toc471310960" </w:instrText>
      </w:r>
      <w:r>
        <w:fldChar w:fldCharType="separate"/>
      </w:r>
      <w:r>
        <w:rPr>
          <w:rStyle w:val="21"/>
          <w:rFonts w:hint="eastAsia"/>
        </w:rPr>
        <w:t>第五章</w:t>
      </w:r>
      <w:r>
        <w:rPr>
          <w:rStyle w:val="21"/>
        </w:rPr>
        <w:t xml:space="preserve"> 2016</w:t>
      </w:r>
      <w:r>
        <w:rPr>
          <w:rStyle w:val="21"/>
          <w:rFonts w:hint="eastAsia"/>
        </w:rPr>
        <w:t>届毕业生的就业指导与服务</w:t>
      </w:r>
      <w:r>
        <w:tab/>
      </w:r>
      <w:r>
        <w:fldChar w:fldCharType="begin"/>
      </w:r>
      <w:r>
        <w:instrText xml:space="preserve"> PAGEREF _Toc471310960 \h </w:instrText>
      </w:r>
      <w:r>
        <w:fldChar w:fldCharType="separate"/>
      </w:r>
      <w:r>
        <w:t>52</w:t>
      </w:r>
      <w:r>
        <w:fldChar w:fldCharType="end"/>
      </w:r>
      <w:r>
        <w:fldChar w:fldCharType="end"/>
      </w:r>
    </w:p>
    <w:p>
      <w:pPr>
        <w:pStyle w:val="18"/>
        <w:tabs>
          <w:tab w:val="right" w:leader="dot" w:pos="8296"/>
        </w:tabs>
        <w:rPr>
          <w:b w:val="0"/>
          <w:bCs w:val="0"/>
          <w:sz w:val="21"/>
          <w:szCs w:val="22"/>
        </w:rPr>
      </w:pPr>
      <w:r>
        <w:fldChar w:fldCharType="begin"/>
      </w:r>
      <w:r>
        <w:instrText xml:space="preserve"> HYPERLINK \l "_Toc471310961" </w:instrText>
      </w:r>
      <w:r>
        <w:fldChar w:fldCharType="separate"/>
      </w:r>
      <w:r>
        <w:rPr>
          <w:rStyle w:val="21"/>
          <w:rFonts w:hint="eastAsia" w:hAnsi="宋体" w:cs="宋体"/>
        </w:rPr>
        <w:t>一、全员参与——高度重视就业工作</w:t>
      </w:r>
      <w:r>
        <w:tab/>
      </w:r>
      <w:r>
        <w:fldChar w:fldCharType="begin"/>
      </w:r>
      <w:r>
        <w:instrText xml:space="preserve"> PAGEREF _Toc471310961 \h </w:instrText>
      </w:r>
      <w:r>
        <w:fldChar w:fldCharType="separate"/>
      </w:r>
      <w:r>
        <w:t>52</w:t>
      </w:r>
      <w:r>
        <w:fldChar w:fldCharType="end"/>
      </w:r>
      <w:r>
        <w:fldChar w:fldCharType="end"/>
      </w:r>
    </w:p>
    <w:p>
      <w:pPr>
        <w:pStyle w:val="18"/>
        <w:tabs>
          <w:tab w:val="right" w:leader="dot" w:pos="8296"/>
        </w:tabs>
        <w:rPr>
          <w:b w:val="0"/>
          <w:bCs w:val="0"/>
          <w:sz w:val="21"/>
          <w:szCs w:val="22"/>
        </w:rPr>
      </w:pPr>
      <w:r>
        <w:fldChar w:fldCharType="begin"/>
      </w:r>
      <w:r>
        <w:instrText xml:space="preserve"> HYPERLINK \l "_Toc471310962" </w:instrText>
      </w:r>
      <w:r>
        <w:fldChar w:fldCharType="separate"/>
      </w:r>
      <w:r>
        <w:rPr>
          <w:rStyle w:val="21"/>
          <w:rFonts w:hint="eastAsia" w:hAnsi="宋体" w:cs="宋体"/>
        </w:rPr>
        <w:t>二、建设先行——构建就业信息服务立体化平台</w:t>
      </w:r>
      <w:r>
        <w:tab/>
      </w:r>
      <w:r>
        <w:fldChar w:fldCharType="begin"/>
      </w:r>
      <w:r>
        <w:instrText xml:space="preserve"> PAGEREF _Toc471310962 \h </w:instrText>
      </w:r>
      <w:r>
        <w:fldChar w:fldCharType="separate"/>
      </w:r>
      <w:r>
        <w:t>52</w:t>
      </w:r>
      <w:r>
        <w:fldChar w:fldCharType="end"/>
      </w:r>
      <w:r>
        <w:fldChar w:fldCharType="end"/>
      </w:r>
    </w:p>
    <w:p>
      <w:pPr>
        <w:pStyle w:val="18"/>
        <w:tabs>
          <w:tab w:val="right" w:leader="dot" w:pos="8296"/>
        </w:tabs>
        <w:rPr>
          <w:b w:val="0"/>
          <w:bCs w:val="0"/>
          <w:sz w:val="21"/>
          <w:szCs w:val="22"/>
        </w:rPr>
      </w:pPr>
      <w:r>
        <w:fldChar w:fldCharType="begin"/>
      </w:r>
      <w:r>
        <w:instrText xml:space="preserve"> HYPERLINK \l "_Toc471310963" </w:instrText>
      </w:r>
      <w:r>
        <w:fldChar w:fldCharType="separate"/>
      </w:r>
      <w:r>
        <w:rPr>
          <w:rStyle w:val="21"/>
          <w:rFonts w:hint="eastAsia"/>
        </w:rPr>
        <w:t>三、多措并举——加强就业指导</w:t>
      </w:r>
      <w:r>
        <w:tab/>
      </w:r>
      <w:r>
        <w:fldChar w:fldCharType="begin"/>
      </w:r>
      <w:r>
        <w:instrText xml:space="preserve"> PAGEREF _Toc471310963 \h </w:instrText>
      </w:r>
      <w:r>
        <w:fldChar w:fldCharType="separate"/>
      </w:r>
      <w:r>
        <w:t>53</w:t>
      </w:r>
      <w:r>
        <w:fldChar w:fldCharType="end"/>
      </w:r>
      <w:r>
        <w:fldChar w:fldCharType="end"/>
      </w:r>
    </w:p>
    <w:p>
      <w:pPr>
        <w:pStyle w:val="18"/>
        <w:tabs>
          <w:tab w:val="right" w:leader="dot" w:pos="8296"/>
        </w:tabs>
        <w:rPr>
          <w:b w:val="0"/>
          <w:bCs w:val="0"/>
          <w:sz w:val="21"/>
          <w:szCs w:val="22"/>
        </w:rPr>
      </w:pPr>
      <w:r>
        <w:fldChar w:fldCharType="begin"/>
      </w:r>
      <w:r>
        <w:instrText xml:space="preserve"> HYPERLINK \l "_Toc471310964" </w:instrText>
      </w:r>
      <w:r>
        <w:fldChar w:fldCharType="separate"/>
      </w:r>
      <w:r>
        <w:rPr>
          <w:rStyle w:val="21"/>
          <w:rFonts w:hint="eastAsia"/>
        </w:rPr>
        <w:t>四、整合资源——加强毕业生就业市场建设</w:t>
      </w:r>
      <w:r>
        <w:tab/>
      </w:r>
      <w:r>
        <w:fldChar w:fldCharType="begin"/>
      </w:r>
      <w:r>
        <w:instrText xml:space="preserve"> PAGEREF _Toc471310964 \h </w:instrText>
      </w:r>
      <w:r>
        <w:fldChar w:fldCharType="separate"/>
      </w:r>
      <w:r>
        <w:t>54</w:t>
      </w:r>
      <w:r>
        <w:fldChar w:fldCharType="end"/>
      </w:r>
      <w:r>
        <w:fldChar w:fldCharType="end"/>
      </w:r>
    </w:p>
    <w:p>
      <w:pPr>
        <w:pStyle w:val="18"/>
        <w:tabs>
          <w:tab w:val="right" w:leader="dot" w:pos="8296"/>
        </w:tabs>
        <w:rPr>
          <w:b w:val="0"/>
          <w:bCs w:val="0"/>
          <w:sz w:val="21"/>
          <w:szCs w:val="22"/>
        </w:rPr>
      </w:pPr>
      <w:r>
        <w:fldChar w:fldCharType="begin"/>
      </w:r>
      <w:r>
        <w:instrText xml:space="preserve"> HYPERLINK \l "_Toc471310965" </w:instrText>
      </w:r>
      <w:r>
        <w:fldChar w:fldCharType="separate"/>
      </w:r>
      <w:r>
        <w:rPr>
          <w:rStyle w:val="21"/>
          <w:rFonts w:hint="eastAsia"/>
        </w:rPr>
        <w:t>五、精准帮扶——助推就业困难生求职</w:t>
      </w:r>
      <w:r>
        <w:tab/>
      </w:r>
      <w:r>
        <w:fldChar w:fldCharType="begin"/>
      </w:r>
      <w:r>
        <w:instrText xml:space="preserve"> PAGEREF _Toc471310965 \h </w:instrText>
      </w:r>
      <w:r>
        <w:fldChar w:fldCharType="separate"/>
      </w:r>
      <w:r>
        <w:t>55</w:t>
      </w:r>
      <w:r>
        <w:fldChar w:fldCharType="end"/>
      </w:r>
      <w:r>
        <w:fldChar w:fldCharType="end"/>
      </w:r>
    </w:p>
    <w:p>
      <w:pPr>
        <w:pStyle w:val="14"/>
        <w:tabs>
          <w:tab w:val="right" w:leader="dot" w:pos="8296"/>
        </w:tabs>
        <w:rPr>
          <w:rFonts w:asciiTheme="minorHAnsi" w:hAnsiTheme="minorHAnsi"/>
          <w:b w:val="0"/>
          <w:bCs w:val="0"/>
          <w:caps w:val="0"/>
          <w:sz w:val="21"/>
          <w:szCs w:val="22"/>
        </w:rPr>
      </w:pPr>
      <w:r>
        <w:fldChar w:fldCharType="begin"/>
      </w:r>
      <w:r>
        <w:instrText xml:space="preserve"> HYPERLINK \l "_Toc471310966" </w:instrText>
      </w:r>
      <w:r>
        <w:fldChar w:fldCharType="separate"/>
      </w:r>
      <w:r>
        <w:rPr>
          <w:rStyle w:val="21"/>
          <w:rFonts w:hint="eastAsia"/>
        </w:rPr>
        <w:t>第六章</w:t>
      </w:r>
      <w:r>
        <w:rPr>
          <w:rStyle w:val="21"/>
        </w:rPr>
        <w:t xml:space="preserve"> </w:t>
      </w:r>
      <w:r>
        <w:rPr>
          <w:rStyle w:val="21"/>
          <w:rFonts w:hint="eastAsia"/>
        </w:rPr>
        <w:t>对教育教学的反馈</w:t>
      </w:r>
      <w:r>
        <w:tab/>
      </w:r>
      <w:r>
        <w:fldChar w:fldCharType="begin"/>
      </w:r>
      <w:r>
        <w:instrText xml:space="preserve"> PAGEREF _Toc471310966 \h </w:instrText>
      </w:r>
      <w:r>
        <w:fldChar w:fldCharType="separate"/>
      </w:r>
      <w:r>
        <w:t>56</w:t>
      </w:r>
      <w:r>
        <w:fldChar w:fldCharType="end"/>
      </w:r>
      <w:r>
        <w:fldChar w:fldCharType="end"/>
      </w:r>
    </w:p>
    <w:p>
      <w:pPr>
        <w:pStyle w:val="18"/>
        <w:tabs>
          <w:tab w:val="right" w:leader="dot" w:pos="8296"/>
        </w:tabs>
        <w:rPr>
          <w:b w:val="0"/>
          <w:bCs w:val="0"/>
          <w:sz w:val="21"/>
          <w:szCs w:val="22"/>
        </w:rPr>
      </w:pPr>
      <w:r>
        <w:fldChar w:fldCharType="begin"/>
      </w:r>
      <w:r>
        <w:instrText xml:space="preserve"> HYPERLINK \l "_Toc471310967" </w:instrText>
      </w:r>
      <w:r>
        <w:fldChar w:fldCharType="separate"/>
      </w:r>
      <w:r>
        <w:rPr>
          <w:rStyle w:val="21"/>
          <w:rFonts w:hint="eastAsia"/>
        </w:rPr>
        <w:t>一、</w:t>
      </w:r>
      <w:r>
        <w:rPr>
          <w:rStyle w:val="21"/>
        </w:rPr>
        <w:t>2016</w:t>
      </w:r>
      <w:r>
        <w:rPr>
          <w:rStyle w:val="21"/>
          <w:rFonts w:hint="eastAsia"/>
        </w:rPr>
        <w:t>届毕业生对母校教育教学的评价</w:t>
      </w:r>
      <w:r>
        <w:tab/>
      </w:r>
      <w:r>
        <w:fldChar w:fldCharType="begin"/>
      </w:r>
      <w:r>
        <w:instrText xml:space="preserve"> PAGEREF _Toc471310967 \h </w:instrText>
      </w:r>
      <w:r>
        <w:fldChar w:fldCharType="separate"/>
      </w:r>
      <w:r>
        <w:t>56</w:t>
      </w:r>
      <w:r>
        <w:fldChar w:fldCharType="end"/>
      </w:r>
      <w:r>
        <w:fldChar w:fldCharType="end"/>
      </w:r>
    </w:p>
    <w:p>
      <w:pPr>
        <w:pStyle w:val="10"/>
        <w:tabs>
          <w:tab w:val="right" w:leader="dot" w:pos="8296"/>
        </w:tabs>
        <w:rPr>
          <w:sz w:val="21"/>
          <w:szCs w:val="22"/>
        </w:rPr>
      </w:pPr>
      <w:r>
        <w:fldChar w:fldCharType="begin"/>
      </w:r>
      <w:r>
        <w:instrText xml:space="preserve"> HYPERLINK \l "_Toc471310968" </w:instrText>
      </w:r>
      <w:r>
        <w:fldChar w:fldCharType="separate"/>
      </w:r>
      <w:r>
        <w:rPr>
          <w:rStyle w:val="21"/>
          <w:rFonts w:hint="eastAsia"/>
        </w:rPr>
        <w:t>（一）毕业生对创业政策的了解程度</w:t>
      </w:r>
      <w:r>
        <w:tab/>
      </w:r>
      <w:r>
        <w:fldChar w:fldCharType="begin"/>
      </w:r>
      <w:r>
        <w:instrText xml:space="preserve"> PAGEREF _Toc471310968 \h </w:instrText>
      </w:r>
      <w:r>
        <w:fldChar w:fldCharType="separate"/>
      </w:r>
      <w:r>
        <w:t>56</w:t>
      </w:r>
      <w:r>
        <w:fldChar w:fldCharType="end"/>
      </w:r>
      <w:r>
        <w:fldChar w:fldCharType="end"/>
      </w:r>
    </w:p>
    <w:p>
      <w:pPr>
        <w:pStyle w:val="10"/>
        <w:tabs>
          <w:tab w:val="right" w:leader="dot" w:pos="8296"/>
        </w:tabs>
        <w:rPr>
          <w:sz w:val="21"/>
          <w:szCs w:val="22"/>
        </w:rPr>
      </w:pPr>
      <w:r>
        <w:fldChar w:fldCharType="begin"/>
      </w:r>
      <w:r>
        <w:instrText xml:space="preserve"> HYPERLINK \l "_Toc471310969" </w:instrText>
      </w:r>
      <w:r>
        <w:fldChar w:fldCharType="separate"/>
      </w:r>
      <w:r>
        <w:rPr>
          <w:rStyle w:val="21"/>
          <w:rFonts w:hint="eastAsia"/>
        </w:rPr>
        <w:t>（二）毕业生对母校教学方面的评价</w:t>
      </w:r>
      <w:r>
        <w:tab/>
      </w:r>
      <w:r>
        <w:fldChar w:fldCharType="begin"/>
      </w:r>
      <w:r>
        <w:instrText xml:space="preserve"> PAGEREF _Toc471310969 \h </w:instrText>
      </w:r>
      <w:r>
        <w:fldChar w:fldCharType="separate"/>
      </w:r>
      <w:r>
        <w:t>56</w:t>
      </w:r>
      <w:r>
        <w:fldChar w:fldCharType="end"/>
      </w:r>
      <w:r>
        <w:fldChar w:fldCharType="end"/>
      </w:r>
    </w:p>
    <w:p>
      <w:pPr>
        <w:pStyle w:val="10"/>
        <w:tabs>
          <w:tab w:val="right" w:leader="dot" w:pos="8296"/>
        </w:tabs>
        <w:rPr>
          <w:sz w:val="21"/>
          <w:szCs w:val="22"/>
        </w:rPr>
      </w:pPr>
      <w:r>
        <w:fldChar w:fldCharType="begin"/>
      </w:r>
      <w:r>
        <w:instrText xml:space="preserve"> HYPERLINK \l "_Toc471310970" </w:instrText>
      </w:r>
      <w:r>
        <w:fldChar w:fldCharType="separate"/>
      </w:r>
      <w:r>
        <w:rPr>
          <w:rStyle w:val="21"/>
          <w:rFonts w:hint="eastAsia"/>
        </w:rPr>
        <w:t>（三）毕业生对母校就业服务的评价</w:t>
      </w:r>
      <w:r>
        <w:tab/>
      </w:r>
      <w:r>
        <w:fldChar w:fldCharType="begin"/>
      </w:r>
      <w:r>
        <w:instrText xml:space="preserve"> PAGEREF _Toc471310970 \h </w:instrText>
      </w:r>
      <w:r>
        <w:fldChar w:fldCharType="separate"/>
      </w:r>
      <w:r>
        <w:t>59</w:t>
      </w:r>
      <w:r>
        <w:fldChar w:fldCharType="end"/>
      </w:r>
      <w:r>
        <w:fldChar w:fldCharType="end"/>
      </w:r>
    </w:p>
    <w:p>
      <w:pPr>
        <w:pStyle w:val="10"/>
        <w:tabs>
          <w:tab w:val="right" w:leader="dot" w:pos="8296"/>
        </w:tabs>
        <w:rPr>
          <w:sz w:val="21"/>
          <w:szCs w:val="22"/>
        </w:rPr>
      </w:pPr>
      <w:r>
        <w:fldChar w:fldCharType="begin"/>
      </w:r>
      <w:r>
        <w:instrText xml:space="preserve"> HYPERLINK \l "_Toc471310971" </w:instrText>
      </w:r>
      <w:r>
        <w:fldChar w:fldCharType="separate"/>
      </w:r>
      <w:r>
        <w:rPr>
          <w:rStyle w:val="21"/>
          <w:rFonts w:hint="eastAsia"/>
        </w:rPr>
        <w:t>（四）毕业生对母校推荐度</w:t>
      </w:r>
      <w:r>
        <w:tab/>
      </w:r>
      <w:r>
        <w:fldChar w:fldCharType="begin"/>
      </w:r>
      <w:r>
        <w:instrText xml:space="preserve"> PAGEREF _Toc471310971 \h </w:instrText>
      </w:r>
      <w:r>
        <w:fldChar w:fldCharType="separate"/>
      </w:r>
      <w:r>
        <w:t>61</w:t>
      </w:r>
      <w:r>
        <w:fldChar w:fldCharType="end"/>
      </w:r>
      <w:r>
        <w:fldChar w:fldCharType="end"/>
      </w:r>
    </w:p>
    <w:p>
      <w:pPr>
        <w:pStyle w:val="18"/>
        <w:tabs>
          <w:tab w:val="right" w:leader="dot" w:pos="8296"/>
        </w:tabs>
        <w:rPr>
          <w:b w:val="0"/>
          <w:bCs w:val="0"/>
          <w:sz w:val="21"/>
          <w:szCs w:val="22"/>
        </w:rPr>
      </w:pPr>
      <w:r>
        <w:fldChar w:fldCharType="begin"/>
      </w:r>
      <w:r>
        <w:instrText xml:space="preserve"> HYPERLINK \l "_Toc471310972" </w:instrText>
      </w:r>
      <w:r>
        <w:fldChar w:fldCharType="separate"/>
      </w:r>
      <w:r>
        <w:rPr>
          <w:rStyle w:val="21"/>
          <w:rFonts w:hint="eastAsia"/>
        </w:rPr>
        <w:t>二、母校满意度模型</w:t>
      </w:r>
      <w:r>
        <w:tab/>
      </w:r>
      <w:r>
        <w:fldChar w:fldCharType="begin"/>
      </w:r>
      <w:r>
        <w:instrText xml:space="preserve"> PAGEREF _Toc471310972 \h </w:instrText>
      </w:r>
      <w:r>
        <w:fldChar w:fldCharType="separate"/>
      </w:r>
      <w:r>
        <w:t>61</w:t>
      </w:r>
      <w:r>
        <w:fldChar w:fldCharType="end"/>
      </w:r>
      <w:r>
        <w:fldChar w:fldCharType="end"/>
      </w:r>
    </w:p>
    <w:p>
      <w:pPr>
        <w:pStyle w:val="10"/>
        <w:tabs>
          <w:tab w:val="right" w:leader="dot" w:pos="8296"/>
        </w:tabs>
        <w:rPr>
          <w:sz w:val="21"/>
          <w:szCs w:val="22"/>
        </w:rPr>
      </w:pPr>
      <w:r>
        <w:fldChar w:fldCharType="begin"/>
      </w:r>
      <w:r>
        <w:instrText xml:space="preserve"> HYPERLINK \l "_Toc471310973" </w:instrText>
      </w:r>
      <w:r>
        <w:fldChar w:fldCharType="separate"/>
      </w:r>
      <w:r>
        <w:rPr>
          <w:rStyle w:val="21"/>
          <w:rFonts w:hint="eastAsia"/>
        </w:rPr>
        <w:t>（一）基本思想</w:t>
      </w:r>
      <w:r>
        <w:tab/>
      </w:r>
      <w:r>
        <w:fldChar w:fldCharType="begin"/>
      </w:r>
      <w:r>
        <w:instrText xml:space="preserve"> PAGEREF _Toc471310973 \h </w:instrText>
      </w:r>
      <w:r>
        <w:fldChar w:fldCharType="separate"/>
      </w:r>
      <w:r>
        <w:t>61</w:t>
      </w:r>
      <w:r>
        <w:fldChar w:fldCharType="end"/>
      </w:r>
      <w:r>
        <w:fldChar w:fldCharType="end"/>
      </w:r>
    </w:p>
    <w:p>
      <w:pPr>
        <w:pStyle w:val="10"/>
        <w:tabs>
          <w:tab w:val="right" w:leader="dot" w:pos="8296"/>
        </w:tabs>
        <w:rPr>
          <w:sz w:val="21"/>
          <w:szCs w:val="22"/>
        </w:rPr>
      </w:pPr>
      <w:r>
        <w:fldChar w:fldCharType="begin"/>
      </w:r>
      <w:r>
        <w:instrText xml:space="preserve"> HYPERLINK \l "_Toc471310974" </w:instrText>
      </w:r>
      <w:r>
        <w:fldChar w:fldCharType="separate"/>
      </w:r>
      <w:r>
        <w:rPr>
          <w:rStyle w:val="21"/>
          <w:rFonts w:hint="eastAsia"/>
        </w:rPr>
        <w:t>（二）指标量化</w:t>
      </w:r>
      <w:r>
        <w:tab/>
      </w:r>
      <w:r>
        <w:fldChar w:fldCharType="begin"/>
      </w:r>
      <w:r>
        <w:instrText xml:space="preserve"> PAGEREF _Toc471310974 \h </w:instrText>
      </w:r>
      <w:r>
        <w:fldChar w:fldCharType="separate"/>
      </w:r>
      <w:r>
        <w:t>62</w:t>
      </w:r>
      <w:r>
        <w:fldChar w:fldCharType="end"/>
      </w:r>
      <w:r>
        <w:fldChar w:fldCharType="end"/>
      </w:r>
    </w:p>
    <w:p>
      <w:pPr>
        <w:pStyle w:val="10"/>
        <w:tabs>
          <w:tab w:val="right" w:leader="dot" w:pos="8296"/>
        </w:tabs>
        <w:rPr>
          <w:sz w:val="21"/>
          <w:szCs w:val="22"/>
        </w:rPr>
      </w:pPr>
      <w:r>
        <w:fldChar w:fldCharType="begin"/>
      </w:r>
      <w:r>
        <w:instrText xml:space="preserve"> HYPERLINK \l "_Toc471310975" </w:instrText>
      </w:r>
      <w:r>
        <w:fldChar w:fldCharType="separate"/>
      </w:r>
      <w:r>
        <w:rPr>
          <w:rStyle w:val="21"/>
          <w:rFonts w:hint="eastAsia"/>
        </w:rPr>
        <w:t>（三）确定权重</w:t>
      </w:r>
      <w:r>
        <w:tab/>
      </w:r>
      <w:r>
        <w:fldChar w:fldCharType="begin"/>
      </w:r>
      <w:r>
        <w:instrText xml:space="preserve"> PAGEREF _Toc471310975 \h </w:instrText>
      </w:r>
      <w:r>
        <w:fldChar w:fldCharType="separate"/>
      </w:r>
      <w:r>
        <w:t>62</w:t>
      </w:r>
      <w:r>
        <w:fldChar w:fldCharType="end"/>
      </w:r>
      <w:r>
        <w:fldChar w:fldCharType="end"/>
      </w:r>
    </w:p>
    <w:p>
      <w:pPr>
        <w:pStyle w:val="10"/>
        <w:tabs>
          <w:tab w:val="right" w:leader="dot" w:pos="8296"/>
        </w:tabs>
        <w:rPr>
          <w:sz w:val="21"/>
          <w:szCs w:val="22"/>
        </w:rPr>
      </w:pPr>
      <w:r>
        <w:fldChar w:fldCharType="begin"/>
      </w:r>
      <w:r>
        <w:instrText xml:space="preserve"> HYPERLINK \l "_Toc471310976" </w:instrText>
      </w:r>
      <w:r>
        <w:fldChar w:fldCharType="separate"/>
      </w:r>
      <w:r>
        <w:rPr>
          <w:rStyle w:val="21"/>
          <w:rFonts w:hint="eastAsia"/>
        </w:rPr>
        <w:t>（四）结论反馈</w:t>
      </w:r>
      <w:r>
        <w:tab/>
      </w:r>
      <w:r>
        <w:fldChar w:fldCharType="begin"/>
      </w:r>
      <w:r>
        <w:instrText xml:space="preserve"> PAGEREF _Toc471310976 \h </w:instrText>
      </w:r>
      <w:r>
        <w:fldChar w:fldCharType="separate"/>
      </w:r>
      <w:r>
        <w:t>63</w:t>
      </w:r>
      <w:r>
        <w:fldChar w:fldCharType="end"/>
      </w:r>
      <w:r>
        <w:fldChar w:fldCharType="end"/>
      </w:r>
    </w:p>
    <w:p>
      <w:pPr>
        <w:pStyle w:val="18"/>
        <w:tabs>
          <w:tab w:val="right" w:leader="dot" w:pos="8296"/>
        </w:tabs>
        <w:rPr>
          <w:b w:val="0"/>
          <w:bCs w:val="0"/>
          <w:sz w:val="21"/>
          <w:szCs w:val="22"/>
        </w:rPr>
      </w:pPr>
      <w:r>
        <w:fldChar w:fldCharType="begin"/>
      </w:r>
      <w:r>
        <w:instrText xml:space="preserve"> HYPERLINK \l "_Toc471310977" </w:instrText>
      </w:r>
      <w:r>
        <w:fldChar w:fldCharType="separate"/>
      </w:r>
      <w:r>
        <w:rPr>
          <w:rStyle w:val="21"/>
          <w:rFonts w:hint="eastAsia"/>
        </w:rPr>
        <w:t>三、用人单位基本情况</w:t>
      </w:r>
      <w:r>
        <w:tab/>
      </w:r>
      <w:r>
        <w:fldChar w:fldCharType="begin"/>
      </w:r>
      <w:r>
        <w:instrText xml:space="preserve"> PAGEREF _Toc471310977 \h </w:instrText>
      </w:r>
      <w:r>
        <w:fldChar w:fldCharType="separate"/>
      </w:r>
      <w:r>
        <w:t>64</w:t>
      </w:r>
      <w:r>
        <w:fldChar w:fldCharType="end"/>
      </w:r>
      <w:r>
        <w:fldChar w:fldCharType="end"/>
      </w:r>
    </w:p>
    <w:p>
      <w:pPr>
        <w:pStyle w:val="10"/>
        <w:tabs>
          <w:tab w:val="right" w:leader="dot" w:pos="8296"/>
        </w:tabs>
        <w:rPr>
          <w:sz w:val="21"/>
          <w:szCs w:val="22"/>
        </w:rPr>
      </w:pPr>
      <w:r>
        <w:fldChar w:fldCharType="begin"/>
      </w:r>
      <w:r>
        <w:instrText xml:space="preserve"> HYPERLINK \l "_Toc471310978" </w:instrText>
      </w:r>
      <w:r>
        <w:fldChar w:fldCharType="separate"/>
      </w:r>
      <w:r>
        <w:rPr>
          <w:rStyle w:val="21"/>
          <w:rFonts w:hint="eastAsia"/>
        </w:rPr>
        <w:t>（一）用人单位规模</w:t>
      </w:r>
      <w:r>
        <w:tab/>
      </w:r>
      <w:r>
        <w:fldChar w:fldCharType="begin"/>
      </w:r>
      <w:r>
        <w:instrText xml:space="preserve"> PAGEREF _Toc471310978 \h </w:instrText>
      </w:r>
      <w:r>
        <w:fldChar w:fldCharType="separate"/>
      </w:r>
      <w:r>
        <w:t>65</w:t>
      </w:r>
      <w:r>
        <w:fldChar w:fldCharType="end"/>
      </w:r>
      <w:r>
        <w:fldChar w:fldCharType="end"/>
      </w:r>
    </w:p>
    <w:p>
      <w:pPr>
        <w:pStyle w:val="10"/>
        <w:tabs>
          <w:tab w:val="right" w:leader="dot" w:pos="8296"/>
        </w:tabs>
        <w:rPr>
          <w:sz w:val="21"/>
          <w:szCs w:val="22"/>
        </w:rPr>
      </w:pPr>
      <w:r>
        <w:fldChar w:fldCharType="begin"/>
      </w:r>
      <w:r>
        <w:instrText xml:space="preserve"> HYPERLINK \l "_Toc471310979" </w:instrText>
      </w:r>
      <w:r>
        <w:fldChar w:fldCharType="separate"/>
      </w:r>
      <w:r>
        <w:rPr>
          <w:rStyle w:val="21"/>
          <w:rFonts w:hint="eastAsia"/>
        </w:rPr>
        <w:t>（二）用人单位性质</w:t>
      </w:r>
      <w:r>
        <w:tab/>
      </w:r>
      <w:r>
        <w:fldChar w:fldCharType="begin"/>
      </w:r>
      <w:r>
        <w:instrText xml:space="preserve"> PAGEREF _Toc471310979 \h </w:instrText>
      </w:r>
      <w:r>
        <w:fldChar w:fldCharType="separate"/>
      </w:r>
      <w:r>
        <w:t>65</w:t>
      </w:r>
      <w:r>
        <w:fldChar w:fldCharType="end"/>
      </w:r>
      <w:r>
        <w:fldChar w:fldCharType="end"/>
      </w:r>
    </w:p>
    <w:p>
      <w:pPr>
        <w:pStyle w:val="10"/>
        <w:tabs>
          <w:tab w:val="right" w:leader="dot" w:pos="8296"/>
        </w:tabs>
        <w:rPr>
          <w:sz w:val="21"/>
          <w:szCs w:val="22"/>
        </w:rPr>
      </w:pPr>
      <w:r>
        <w:fldChar w:fldCharType="begin"/>
      </w:r>
      <w:r>
        <w:instrText xml:space="preserve"> HYPERLINK \l "_Toc471310980" </w:instrText>
      </w:r>
      <w:r>
        <w:fldChar w:fldCharType="separate"/>
      </w:r>
      <w:r>
        <w:rPr>
          <w:rStyle w:val="21"/>
          <w:rFonts w:hint="eastAsia"/>
        </w:rPr>
        <w:t>（三）用人单位所属行业</w:t>
      </w:r>
      <w:r>
        <w:tab/>
      </w:r>
      <w:r>
        <w:fldChar w:fldCharType="begin"/>
      </w:r>
      <w:r>
        <w:instrText xml:space="preserve"> PAGEREF _Toc471310980 \h </w:instrText>
      </w:r>
      <w:r>
        <w:fldChar w:fldCharType="separate"/>
      </w:r>
      <w:r>
        <w:t>66</w:t>
      </w:r>
      <w:r>
        <w:fldChar w:fldCharType="end"/>
      </w:r>
      <w:r>
        <w:fldChar w:fldCharType="end"/>
      </w:r>
    </w:p>
    <w:p>
      <w:pPr>
        <w:pStyle w:val="18"/>
        <w:tabs>
          <w:tab w:val="right" w:leader="dot" w:pos="8296"/>
        </w:tabs>
        <w:rPr>
          <w:b w:val="0"/>
          <w:bCs w:val="0"/>
          <w:sz w:val="21"/>
          <w:szCs w:val="22"/>
        </w:rPr>
      </w:pPr>
      <w:r>
        <w:fldChar w:fldCharType="begin"/>
      </w:r>
      <w:r>
        <w:instrText xml:space="preserve"> HYPERLINK \l "_Toc471310981" </w:instrText>
      </w:r>
      <w:r>
        <w:fldChar w:fldCharType="separate"/>
      </w:r>
      <w:r>
        <w:rPr>
          <w:rStyle w:val="21"/>
          <w:rFonts w:hint="eastAsia"/>
        </w:rPr>
        <w:t>四、用人单位招聘毕业生情况</w:t>
      </w:r>
      <w:r>
        <w:tab/>
      </w:r>
      <w:r>
        <w:fldChar w:fldCharType="begin"/>
      </w:r>
      <w:r>
        <w:instrText xml:space="preserve"> PAGEREF _Toc471310981 \h </w:instrText>
      </w:r>
      <w:r>
        <w:fldChar w:fldCharType="separate"/>
      </w:r>
      <w:r>
        <w:t>66</w:t>
      </w:r>
      <w:r>
        <w:fldChar w:fldCharType="end"/>
      </w:r>
      <w:r>
        <w:fldChar w:fldCharType="end"/>
      </w:r>
    </w:p>
    <w:p>
      <w:pPr>
        <w:pStyle w:val="10"/>
        <w:tabs>
          <w:tab w:val="right" w:leader="dot" w:pos="8296"/>
        </w:tabs>
        <w:rPr>
          <w:sz w:val="21"/>
          <w:szCs w:val="22"/>
        </w:rPr>
      </w:pPr>
      <w:r>
        <w:fldChar w:fldCharType="begin"/>
      </w:r>
      <w:r>
        <w:instrText xml:space="preserve"> HYPERLINK \l "_Toc471310982" </w:instrText>
      </w:r>
      <w:r>
        <w:fldChar w:fldCharType="separate"/>
      </w:r>
      <w:r>
        <w:rPr>
          <w:rStyle w:val="21"/>
          <w:rFonts w:hint="eastAsia"/>
        </w:rPr>
        <w:t>（一）用人单位招聘毕业生的渠道</w:t>
      </w:r>
      <w:r>
        <w:tab/>
      </w:r>
      <w:r>
        <w:fldChar w:fldCharType="begin"/>
      </w:r>
      <w:r>
        <w:instrText xml:space="preserve"> PAGEREF _Toc471310982 \h </w:instrText>
      </w:r>
      <w:r>
        <w:fldChar w:fldCharType="separate"/>
      </w:r>
      <w:r>
        <w:t>66</w:t>
      </w:r>
      <w:r>
        <w:fldChar w:fldCharType="end"/>
      </w:r>
      <w:r>
        <w:fldChar w:fldCharType="end"/>
      </w:r>
    </w:p>
    <w:p>
      <w:pPr>
        <w:pStyle w:val="10"/>
        <w:tabs>
          <w:tab w:val="right" w:leader="dot" w:pos="8296"/>
        </w:tabs>
        <w:rPr>
          <w:sz w:val="21"/>
          <w:szCs w:val="22"/>
        </w:rPr>
      </w:pPr>
      <w:r>
        <w:fldChar w:fldCharType="begin"/>
      </w:r>
      <w:r>
        <w:instrText xml:space="preserve"> HYPERLINK \l "_Toc471310983" </w:instrText>
      </w:r>
      <w:r>
        <w:fldChar w:fldCharType="separate"/>
      </w:r>
      <w:r>
        <w:rPr>
          <w:rStyle w:val="21"/>
          <w:rFonts w:hint="eastAsia"/>
        </w:rPr>
        <w:t>（二）用人单位对毕业生专业的关注度</w:t>
      </w:r>
      <w:r>
        <w:tab/>
      </w:r>
      <w:r>
        <w:fldChar w:fldCharType="begin"/>
      </w:r>
      <w:r>
        <w:instrText xml:space="preserve"> PAGEREF _Toc471310983 \h </w:instrText>
      </w:r>
      <w:r>
        <w:fldChar w:fldCharType="separate"/>
      </w:r>
      <w:r>
        <w:t>67</w:t>
      </w:r>
      <w:r>
        <w:fldChar w:fldCharType="end"/>
      </w:r>
      <w:r>
        <w:fldChar w:fldCharType="end"/>
      </w:r>
    </w:p>
    <w:p>
      <w:pPr>
        <w:pStyle w:val="10"/>
        <w:tabs>
          <w:tab w:val="right" w:leader="dot" w:pos="8296"/>
        </w:tabs>
        <w:rPr>
          <w:sz w:val="21"/>
          <w:szCs w:val="22"/>
        </w:rPr>
      </w:pPr>
      <w:r>
        <w:fldChar w:fldCharType="begin"/>
      </w:r>
      <w:r>
        <w:instrText xml:space="preserve"> HYPERLINK \l "_Toc471310984" </w:instrText>
      </w:r>
      <w:r>
        <w:fldChar w:fldCharType="separate"/>
      </w:r>
      <w:r>
        <w:rPr>
          <w:rStyle w:val="21"/>
          <w:rFonts w:hint="eastAsia"/>
        </w:rPr>
        <w:t>（三）用人单位招聘毕业生的薪资待遇</w:t>
      </w:r>
      <w:r>
        <w:tab/>
      </w:r>
      <w:r>
        <w:fldChar w:fldCharType="begin"/>
      </w:r>
      <w:r>
        <w:instrText xml:space="preserve"> PAGEREF _Toc471310984 \h </w:instrText>
      </w:r>
      <w:r>
        <w:fldChar w:fldCharType="separate"/>
      </w:r>
      <w:r>
        <w:t>68</w:t>
      </w:r>
      <w:r>
        <w:fldChar w:fldCharType="end"/>
      </w:r>
      <w:r>
        <w:fldChar w:fldCharType="end"/>
      </w:r>
    </w:p>
    <w:p>
      <w:pPr>
        <w:pStyle w:val="10"/>
        <w:tabs>
          <w:tab w:val="right" w:leader="dot" w:pos="8296"/>
        </w:tabs>
        <w:rPr>
          <w:sz w:val="21"/>
          <w:szCs w:val="22"/>
        </w:rPr>
      </w:pPr>
      <w:r>
        <w:fldChar w:fldCharType="begin"/>
      </w:r>
      <w:r>
        <w:instrText xml:space="preserve"> HYPERLINK \l "_Toc471310985" </w:instrText>
      </w:r>
      <w:r>
        <w:fldChar w:fldCharType="separate"/>
      </w:r>
      <w:r>
        <w:rPr>
          <w:rStyle w:val="21"/>
          <w:rFonts w:hint="eastAsia"/>
        </w:rPr>
        <w:t>（四）用人单位招聘毕业生的学历需求</w:t>
      </w:r>
      <w:r>
        <w:tab/>
      </w:r>
      <w:r>
        <w:fldChar w:fldCharType="begin"/>
      </w:r>
      <w:r>
        <w:instrText xml:space="preserve"> PAGEREF _Toc471310985 \h </w:instrText>
      </w:r>
      <w:r>
        <w:fldChar w:fldCharType="separate"/>
      </w:r>
      <w:r>
        <w:t>68</w:t>
      </w:r>
      <w:r>
        <w:fldChar w:fldCharType="end"/>
      </w:r>
      <w:r>
        <w:fldChar w:fldCharType="end"/>
      </w:r>
    </w:p>
    <w:p>
      <w:pPr>
        <w:pStyle w:val="10"/>
        <w:tabs>
          <w:tab w:val="right" w:leader="dot" w:pos="8296"/>
        </w:tabs>
        <w:rPr>
          <w:sz w:val="21"/>
          <w:szCs w:val="22"/>
        </w:rPr>
      </w:pPr>
      <w:r>
        <w:fldChar w:fldCharType="begin"/>
      </w:r>
      <w:r>
        <w:instrText xml:space="preserve"> HYPERLINK \l "_Toc471310986" </w:instrText>
      </w:r>
      <w:r>
        <w:fldChar w:fldCharType="separate"/>
      </w:r>
      <w:r>
        <w:rPr>
          <w:rStyle w:val="21"/>
          <w:rFonts w:hint="eastAsia"/>
        </w:rPr>
        <w:t>（五）用人单位认为毕业生的岗位适应时间</w:t>
      </w:r>
      <w:r>
        <w:tab/>
      </w:r>
      <w:r>
        <w:fldChar w:fldCharType="begin"/>
      </w:r>
      <w:r>
        <w:instrText xml:space="preserve"> PAGEREF _Toc471310986 \h </w:instrText>
      </w:r>
      <w:r>
        <w:fldChar w:fldCharType="separate"/>
      </w:r>
      <w:r>
        <w:t>69</w:t>
      </w:r>
      <w:r>
        <w:fldChar w:fldCharType="end"/>
      </w:r>
      <w:r>
        <w:fldChar w:fldCharType="end"/>
      </w:r>
    </w:p>
    <w:p>
      <w:pPr>
        <w:pStyle w:val="10"/>
        <w:tabs>
          <w:tab w:val="right" w:leader="dot" w:pos="8296"/>
        </w:tabs>
        <w:rPr>
          <w:sz w:val="21"/>
          <w:szCs w:val="22"/>
        </w:rPr>
      </w:pPr>
      <w:r>
        <w:fldChar w:fldCharType="begin"/>
      </w:r>
      <w:r>
        <w:instrText xml:space="preserve"> HYPERLINK \l "_Toc471310987" </w:instrText>
      </w:r>
      <w:r>
        <w:fldChar w:fldCharType="separate"/>
      </w:r>
      <w:r>
        <w:rPr>
          <w:rStyle w:val="21"/>
          <w:rFonts w:hint="eastAsia"/>
        </w:rPr>
        <w:t>（六）用人单位招聘毕业生时关注的因素</w:t>
      </w:r>
      <w:r>
        <w:tab/>
      </w:r>
      <w:r>
        <w:fldChar w:fldCharType="begin"/>
      </w:r>
      <w:r>
        <w:instrText xml:space="preserve"> PAGEREF _Toc471310987 \h </w:instrText>
      </w:r>
      <w:r>
        <w:fldChar w:fldCharType="separate"/>
      </w:r>
      <w:r>
        <w:t>69</w:t>
      </w:r>
      <w:r>
        <w:fldChar w:fldCharType="end"/>
      </w:r>
      <w:r>
        <w:fldChar w:fldCharType="end"/>
      </w:r>
    </w:p>
    <w:p>
      <w:pPr>
        <w:pStyle w:val="18"/>
        <w:tabs>
          <w:tab w:val="right" w:leader="dot" w:pos="8296"/>
        </w:tabs>
        <w:rPr>
          <w:b w:val="0"/>
          <w:bCs w:val="0"/>
          <w:sz w:val="21"/>
          <w:szCs w:val="22"/>
        </w:rPr>
      </w:pPr>
      <w:r>
        <w:fldChar w:fldCharType="begin"/>
      </w:r>
      <w:r>
        <w:instrText xml:space="preserve"> HYPERLINK \l "_Toc471310988" </w:instrText>
      </w:r>
      <w:r>
        <w:fldChar w:fldCharType="separate"/>
      </w:r>
      <w:r>
        <w:rPr>
          <w:rStyle w:val="21"/>
          <w:rFonts w:hint="eastAsia"/>
        </w:rPr>
        <w:t>五、用人单位对毕业生及学校的评价与反馈</w:t>
      </w:r>
      <w:r>
        <w:tab/>
      </w:r>
      <w:r>
        <w:fldChar w:fldCharType="begin"/>
      </w:r>
      <w:r>
        <w:instrText xml:space="preserve"> PAGEREF _Toc471310988 \h </w:instrText>
      </w:r>
      <w:r>
        <w:fldChar w:fldCharType="separate"/>
      </w:r>
      <w:r>
        <w:t>70</w:t>
      </w:r>
      <w:r>
        <w:fldChar w:fldCharType="end"/>
      </w:r>
      <w:r>
        <w:fldChar w:fldCharType="end"/>
      </w:r>
    </w:p>
    <w:p>
      <w:pPr>
        <w:pStyle w:val="10"/>
        <w:tabs>
          <w:tab w:val="right" w:leader="dot" w:pos="8296"/>
        </w:tabs>
        <w:rPr>
          <w:sz w:val="21"/>
          <w:szCs w:val="22"/>
        </w:rPr>
      </w:pPr>
      <w:r>
        <w:fldChar w:fldCharType="begin"/>
      </w:r>
      <w:r>
        <w:instrText xml:space="preserve"> HYPERLINK \l "_Toc471310989" </w:instrText>
      </w:r>
      <w:r>
        <w:fldChar w:fldCharType="separate"/>
      </w:r>
      <w:r>
        <w:rPr>
          <w:rStyle w:val="21"/>
          <w:rFonts w:hint="eastAsia"/>
        </w:rPr>
        <w:t>（一）用人单位对毕业生能力的评价</w:t>
      </w:r>
      <w:r>
        <w:tab/>
      </w:r>
      <w:r>
        <w:fldChar w:fldCharType="begin"/>
      </w:r>
      <w:r>
        <w:instrText xml:space="preserve"> PAGEREF _Toc471310989 \h </w:instrText>
      </w:r>
      <w:r>
        <w:fldChar w:fldCharType="separate"/>
      </w:r>
      <w:r>
        <w:t>70</w:t>
      </w:r>
      <w:r>
        <w:fldChar w:fldCharType="end"/>
      </w:r>
      <w:r>
        <w:fldChar w:fldCharType="end"/>
      </w:r>
    </w:p>
    <w:p>
      <w:pPr>
        <w:pStyle w:val="10"/>
        <w:tabs>
          <w:tab w:val="right" w:leader="dot" w:pos="8296"/>
        </w:tabs>
        <w:rPr>
          <w:sz w:val="21"/>
          <w:szCs w:val="22"/>
        </w:rPr>
      </w:pPr>
      <w:r>
        <w:fldChar w:fldCharType="begin"/>
      </w:r>
      <w:r>
        <w:instrText xml:space="preserve"> HYPERLINK \l "_Toc471310990" </w:instrText>
      </w:r>
      <w:r>
        <w:fldChar w:fldCharType="separate"/>
      </w:r>
      <w:r>
        <w:rPr>
          <w:rStyle w:val="21"/>
          <w:rFonts w:hint="eastAsia"/>
        </w:rPr>
        <w:t>（二）用人单位对学校总体人才培养的评价</w:t>
      </w:r>
      <w:r>
        <w:tab/>
      </w:r>
      <w:r>
        <w:fldChar w:fldCharType="begin"/>
      </w:r>
      <w:r>
        <w:instrText xml:space="preserve"> PAGEREF _Toc471310990 \h </w:instrText>
      </w:r>
      <w:r>
        <w:fldChar w:fldCharType="separate"/>
      </w:r>
      <w:r>
        <w:t>70</w:t>
      </w:r>
      <w:r>
        <w:fldChar w:fldCharType="end"/>
      </w:r>
      <w:r>
        <w:fldChar w:fldCharType="end"/>
      </w:r>
    </w:p>
    <w:p>
      <w:pPr>
        <w:pStyle w:val="10"/>
        <w:tabs>
          <w:tab w:val="right" w:leader="dot" w:pos="8296"/>
        </w:tabs>
        <w:rPr>
          <w:sz w:val="21"/>
          <w:szCs w:val="22"/>
        </w:rPr>
      </w:pPr>
      <w:r>
        <w:fldChar w:fldCharType="begin"/>
      </w:r>
      <w:r>
        <w:instrText xml:space="preserve"> HYPERLINK \l "_Toc471310991" </w:instrText>
      </w:r>
      <w:r>
        <w:fldChar w:fldCharType="separate"/>
      </w:r>
      <w:r>
        <w:rPr>
          <w:rStyle w:val="21"/>
          <w:rFonts w:hint="eastAsia"/>
        </w:rPr>
        <w:t>（三）用人单位对学校就业服务的评价</w:t>
      </w:r>
      <w:r>
        <w:tab/>
      </w:r>
      <w:r>
        <w:fldChar w:fldCharType="begin"/>
      </w:r>
      <w:r>
        <w:instrText xml:space="preserve"> PAGEREF _Toc471310991 \h </w:instrText>
      </w:r>
      <w:r>
        <w:fldChar w:fldCharType="separate"/>
      </w:r>
      <w:r>
        <w:t>71</w:t>
      </w:r>
      <w:r>
        <w:fldChar w:fldCharType="end"/>
      </w:r>
      <w:r>
        <w:fldChar w:fldCharType="end"/>
      </w:r>
    </w:p>
    <w:p>
      <w:pPr>
        <w:pStyle w:val="10"/>
        <w:tabs>
          <w:tab w:val="right" w:leader="dot" w:pos="8296"/>
        </w:tabs>
        <w:rPr>
          <w:sz w:val="21"/>
          <w:szCs w:val="22"/>
        </w:rPr>
      </w:pPr>
      <w:r>
        <w:fldChar w:fldCharType="begin"/>
      </w:r>
      <w:r>
        <w:instrText xml:space="preserve"> HYPERLINK \l "_Toc471310992" </w:instrText>
      </w:r>
      <w:r>
        <w:fldChar w:fldCharType="separate"/>
      </w:r>
      <w:r>
        <w:rPr>
          <w:rStyle w:val="21"/>
          <w:rFonts w:hint="eastAsia"/>
        </w:rPr>
        <w:t>（四）用人单位对学校就业服务的反馈建议</w:t>
      </w:r>
      <w:r>
        <w:tab/>
      </w:r>
      <w:r>
        <w:fldChar w:fldCharType="begin"/>
      </w:r>
      <w:r>
        <w:instrText xml:space="preserve"> PAGEREF _Toc471310992 \h </w:instrText>
      </w:r>
      <w:r>
        <w:fldChar w:fldCharType="separate"/>
      </w:r>
      <w:r>
        <w:t>71</w:t>
      </w:r>
      <w:r>
        <w:fldChar w:fldCharType="end"/>
      </w:r>
      <w:r>
        <w:fldChar w:fldCharType="end"/>
      </w:r>
    </w:p>
    <w:p>
      <w:pPr>
        <w:pStyle w:val="18"/>
        <w:tabs>
          <w:tab w:val="right" w:leader="dot" w:pos="8296"/>
        </w:tabs>
        <w:rPr>
          <w:b w:val="0"/>
          <w:bCs w:val="0"/>
          <w:sz w:val="21"/>
          <w:szCs w:val="22"/>
        </w:rPr>
      </w:pPr>
      <w:r>
        <w:fldChar w:fldCharType="begin"/>
      </w:r>
      <w:r>
        <w:instrText xml:space="preserve"> HYPERLINK \l "_Toc471310993" </w:instrText>
      </w:r>
      <w:r>
        <w:fldChar w:fldCharType="separate"/>
      </w:r>
      <w:r>
        <w:rPr>
          <w:rStyle w:val="21"/>
          <w:rFonts w:hint="eastAsia"/>
        </w:rPr>
        <w:t>六、用人单位对毕业生及学校满意度模型分析</w:t>
      </w:r>
      <w:r>
        <w:tab/>
      </w:r>
      <w:r>
        <w:fldChar w:fldCharType="begin"/>
      </w:r>
      <w:r>
        <w:instrText xml:space="preserve"> PAGEREF _Toc471310993 \h </w:instrText>
      </w:r>
      <w:r>
        <w:fldChar w:fldCharType="separate"/>
      </w:r>
      <w:r>
        <w:t>72</w:t>
      </w:r>
      <w:r>
        <w:fldChar w:fldCharType="end"/>
      </w:r>
      <w:r>
        <w:fldChar w:fldCharType="end"/>
      </w:r>
    </w:p>
    <w:p>
      <w:pPr>
        <w:pStyle w:val="10"/>
        <w:tabs>
          <w:tab w:val="right" w:leader="dot" w:pos="8296"/>
        </w:tabs>
        <w:rPr>
          <w:sz w:val="21"/>
          <w:szCs w:val="22"/>
        </w:rPr>
      </w:pPr>
      <w:r>
        <w:fldChar w:fldCharType="begin"/>
      </w:r>
      <w:r>
        <w:instrText xml:space="preserve"> HYPERLINK \l "_Toc471310994" </w:instrText>
      </w:r>
      <w:r>
        <w:fldChar w:fldCharType="separate"/>
      </w:r>
      <w:r>
        <w:rPr>
          <w:rStyle w:val="21"/>
          <w:rFonts w:hint="eastAsia"/>
        </w:rPr>
        <w:t>（一）数据的来源</w:t>
      </w:r>
      <w:r>
        <w:tab/>
      </w:r>
      <w:r>
        <w:fldChar w:fldCharType="begin"/>
      </w:r>
      <w:r>
        <w:instrText xml:space="preserve"> PAGEREF _Toc471310994 \h </w:instrText>
      </w:r>
      <w:r>
        <w:fldChar w:fldCharType="separate"/>
      </w:r>
      <w:r>
        <w:t>72</w:t>
      </w:r>
      <w:r>
        <w:fldChar w:fldCharType="end"/>
      </w:r>
      <w:r>
        <w:fldChar w:fldCharType="end"/>
      </w:r>
    </w:p>
    <w:p>
      <w:pPr>
        <w:pStyle w:val="10"/>
        <w:tabs>
          <w:tab w:val="right" w:leader="dot" w:pos="8296"/>
        </w:tabs>
        <w:rPr>
          <w:sz w:val="21"/>
          <w:szCs w:val="22"/>
        </w:rPr>
      </w:pPr>
      <w:r>
        <w:fldChar w:fldCharType="begin"/>
      </w:r>
      <w:r>
        <w:instrText xml:space="preserve"> HYPERLINK \l "_Toc471310995" </w:instrText>
      </w:r>
      <w:r>
        <w:fldChar w:fldCharType="separate"/>
      </w:r>
      <w:r>
        <w:rPr>
          <w:rStyle w:val="21"/>
          <w:rFonts w:hint="eastAsia"/>
        </w:rPr>
        <w:t>（二）指标变量以及指标的量化</w:t>
      </w:r>
      <w:r>
        <w:tab/>
      </w:r>
      <w:r>
        <w:fldChar w:fldCharType="begin"/>
      </w:r>
      <w:r>
        <w:instrText xml:space="preserve"> PAGEREF _Toc471310995 \h </w:instrText>
      </w:r>
      <w:r>
        <w:fldChar w:fldCharType="separate"/>
      </w:r>
      <w:r>
        <w:t>72</w:t>
      </w:r>
      <w:r>
        <w:fldChar w:fldCharType="end"/>
      </w:r>
      <w:r>
        <w:fldChar w:fldCharType="end"/>
      </w:r>
    </w:p>
    <w:p>
      <w:pPr>
        <w:pStyle w:val="10"/>
        <w:tabs>
          <w:tab w:val="right" w:leader="dot" w:pos="8296"/>
        </w:tabs>
        <w:rPr>
          <w:sz w:val="21"/>
          <w:szCs w:val="22"/>
        </w:rPr>
      </w:pPr>
      <w:r>
        <w:fldChar w:fldCharType="begin"/>
      </w:r>
      <w:r>
        <w:instrText xml:space="preserve"> HYPERLINK \l "_Toc471310996" </w:instrText>
      </w:r>
      <w:r>
        <w:fldChar w:fldCharType="separate"/>
      </w:r>
      <w:r>
        <w:rPr>
          <w:rStyle w:val="21"/>
          <w:rFonts w:hint="eastAsia"/>
        </w:rPr>
        <w:t>（三）模型假设</w:t>
      </w:r>
      <w:r>
        <w:tab/>
      </w:r>
      <w:r>
        <w:fldChar w:fldCharType="begin"/>
      </w:r>
      <w:r>
        <w:instrText xml:space="preserve"> PAGEREF _Toc471310996 \h </w:instrText>
      </w:r>
      <w:r>
        <w:fldChar w:fldCharType="separate"/>
      </w:r>
      <w:r>
        <w:t>73</w:t>
      </w:r>
      <w:r>
        <w:fldChar w:fldCharType="end"/>
      </w:r>
      <w:r>
        <w:fldChar w:fldCharType="end"/>
      </w:r>
    </w:p>
    <w:p>
      <w:pPr>
        <w:pStyle w:val="10"/>
        <w:tabs>
          <w:tab w:val="right" w:leader="dot" w:pos="8296"/>
        </w:tabs>
        <w:rPr>
          <w:sz w:val="21"/>
          <w:szCs w:val="22"/>
        </w:rPr>
      </w:pPr>
      <w:r>
        <w:fldChar w:fldCharType="begin"/>
      </w:r>
      <w:r>
        <w:instrText xml:space="preserve"> HYPERLINK \l "_Toc471310997" </w:instrText>
      </w:r>
      <w:r>
        <w:fldChar w:fldCharType="separate"/>
      </w:r>
      <w:r>
        <w:rPr>
          <w:rStyle w:val="21"/>
          <w:rFonts w:hint="eastAsia"/>
        </w:rPr>
        <w:t>（四）模型原理</w:t>
      </w:r>
      <w:r>
        <w:tab/>
      </w:r>
      <w:r>
        <w:fldChar w:fldCharType="begin"/>
      </w:r>
      <w:r>
        <w:instrText xml:space="preserve"> PAGEREF _Toc471310997 \h </w:instrText>
      </w:r>
      <w:r>
        <w:fldChar w:fldCharType="separate"/>
      </w:r>
      <w:r>
        <w:t>73</w:t>
      </w:r>
      <w:r>
        <w:fldChar w:fldCharType="end"/>
      </w:r>
      <w:r>
        <w:fldChar w:fldCharType="end"/>
      </w:r>
    </w:p>
    <w:p>
      <w:pPr>
        <w:pStyle w:val="10"/>
        <w:tabs>
          <w:tab w:val="right" w:leader="dot" w:pos="8296"/>
        </w:tabs>
        <w:rPr>
          <w:sz w:val="21"/>
          <w:szCs w:val="22"/>
        </w:rPr>
      </w:pPr>
      <w:r>
        <w:fldChar w:fldCharType="begin"/>
      </w:r>
      <w:r>
        <w:instrText xml:space="preserve"> HYPERLINK \l "_Toc471310998" </w:instrText>
      </w:r>
      <w:r>
        <w:fldChar w:fldCharType="separate"/>
      </w:r>
      <w:r>
        <w:rPr>
          <w:rStyle w:val="21"/>
          <w:rFonts w:hint="eastAsia"/>
        </w:rPr>
        <w:t>（五）模型的建立</w:t>
      </w:r>
      <w:r>
        <w:tab/>
      </w:r>
      <w:r>
        <w:fldChar w:fldCharType="begin"/>
      </w:r>
      <w:r>
        <w:instrText xml:space="preserve"> PAGEREF _Toc471310998 \h </w:instrText>
      </w:r>
      <w:r>
        <w:fldChar w:fldCharType="separate"/>
      </w:r>
      <w:r>
        <w:t>74</w:t>
      </w:r>
      <w:r>
        <w:fldChar w:fldCharType="end"/>
      </w:r>
      <w:r>
        <w:fldChar w:fldCharType="end"/>
      </w:r>
    </w:p>
    <w:p>
      <w:pPr>
        <w:pStyle w:val="18"/>
        <w:tabs>
          <w:tab w:val="right" w:leader="dot" w:pos="8296"/>
        </w:tabs>
        <w:rPr>
          <w:b w:val="0"/>
          <w:bCs w:val="0"/>
          <w:sz w:val="21"/>
          <w:szCs w:val="22"/>
        </w:rPr>
      </w:pPr>
      <w:r>
        <w:fldChar w:fldCharType="begin"/>
      </w:r>
      <w:r>
        <w:instrText xml:space="preserve"> HYPERLINK \l "_Toc471310999" </w:instrText>
      </w:r>
      <w:r>
        <w:fldChar w:fldCharType="separate"/>
      </w:r>
      <w:r>
        <w:rPr>
          <w:rStyle w:val="21"/>
          <w:rFonts w:hint="eastAsia"/>
        </w:rPr>
        <w:t>七、教育教学反馈</w:t>
      </w:r>
      <w:r>
        <w:tab/>
      </w:r>
      <w:r>
        <w:fldChar w:fldCharType="begin"/>
      </w:r>
      <w:r>
        <w:instrText xml:space="preserve"> PAGEREF _Toc471310999 \h </w:instrText>
      </w:r>
      <w:r>
        <w:fldChar w:fldCharType="separate"/>
      </w:r>
      <w:r>
        <w:t>79</w:t>
      </w:r>
      <w:r>
        <w:fldChar w:fldCharType="end"/>
      </w:r>
      <w:r>
        <w:fldChar w:fldCharType="end"/>
      </w:r>
    </w:p>
    <w:p>
      <w:pPr>
        <w:pStyle w:val="10"/>
        <w:tabs>
          <w:tab w:val="right" w:leader="dot" w:pos="8296"/>
        </w:tabs>
        <w:rPr>
          <w:sz w:val="21"/>
          <w:szCs w:val="22"/>
        </w:rPr>
      </w:pPr>
      <w:r>
        <w:fldChar w:fldCharType="begin"/>
      </w:r>
      <w:r>
        <w:instrText xml:space="preserve"> HYPERLINK \l "_Toc471311000" </w:instrText>
      </w:r>
      <w:r>
        <w:fldChar w:fldCharType="separate"/>
      </w:r>
      <w:r>
        <w:rPr>
          <w:rStyle w:val="21"/>
          <w:rFonts w:hint="eastAsia"/>
        </w:rPr>
        <w:t>（一）就业质量满意度对教育教学的反馈</w:t>
      </w:r>
      <w:r>
        <w:tab/>
      </w:r>
      <w:r>
        <w:fldChar w:fldCharType="begin"/>
      </w:r>
      <w:r>
        <w:instrText xml:space="preserve"> PAGEREF _Toc471311000 \h </w:instrText>
      </w:r>
      <w:r>
        <w:fldChar w:fldCharType="separate"/>
      </w:r>
      <w:r>
        <w:t>80</w:t>
      </w:r>
      <w:r>
        <w:fldChar w:fldCharType="end"/>
      </w:r>
      <w:r>
        <w:fldChar w:fldCharType="end"/>
      </w:r>
    </w:p>
    <w:p>
      <w:pPr>
        <w:pStyle w:val="10"/>
        <w:tabs>
          <w:tab w:val="right" w:leader="dot" w:pos="8296"/>
        </w:tabs>
        <w:rPr>
          <w:sz w:val="21"/>
          <w:szCs w:val="22"/>
        </w:rPr>
      </w:pPr>
      <w:r>
        <w:fldChar w:fldCharType="begin"/>
      </w:r>
      <w:r>
        <w:instrText xml:space="preserve"> HYPERLINK \l "_Toc471311001" </w:instrText>
      </w:r>
      <w:r>
        <w:fldChar w:fldCharType="separate"/>
      </w:r>
      <w:r>
        <w:rPr>
          <w:rStyle w:val="21"/>
          <w:rFonts w:hint="eastAsia"/>
        </w:rPr>
        <w:t>（二）毕业生母校满意度对教育教学的反馈</w:t>
      </w:r>
      <w:r>
        <w:tab/>
      </w:r>
      <w:r>
        <w:fldChar w:fldCharType="begin"/>
      </w:r>
      <w:r>
        <w:instrText xml:space="preserve"> PAGEREF _Toc471311001 \h </w:instrText>
      </w:r>
      <w:r>
        <w:fldChar w:fldCharType="separate"/>
      </w:r>
      <w:r>
        <w:t>81</w:t>
      </w:r>
      <w:r>
        <w:fldChar w:fldCharType="end"/>
      </w:r>
      <w:r>
        <w:fldChar w:fldCharType="end"/>
      </w:r>
    </w:p>
    <w:p>
      <w:pPr>
        <w:pStyle w:val="10"/>
        <w:tabs>
          <w:tab w:val="right" w:leader="dot" w:pos="8296"/>
        </w:tabs>
        <w:rPr>
          <w:sz w:val="21"/>
          <w:szCs w:val="22"/>
        </w:rPr>
      </w:pPr>
      <w:r>
        <w:fldChar w:fldCharType="begin"/>
      </w:r>
      <w:r>
        <w:instrText xml:space="preserve"> HYPERLINK \l "_Toc471311002" </w:instrText>
      </w:r>
      <w:r>
        <w:fldChar w:fldCharType="separate"/>
      </w:r>
      <w:r>
        <w:rPr>
          <w:rStyle w:val="21"/>
          <w:rFonts w:hint="eastAsia"/>
        </w:rPr>
        <w:t>（三）用人单位满意度对教育教学的反馈</w:t>
      </w:r>
      <w:r>
        <w:tab/>
      </w:r>
      <w:r>
        <w:fldChar w:fldCharType="begin"/>
      </w:r>
      <w:r>
        <w:instrText xml:space="preserve"> PAGEREF _Toc471311002 \h </w:instrText>
      </w:r>
      <w:r>
        <w:fldChar w:fldCharType="separate"/>
      </w:r>
      <w:r>
        <w:t>82</w:t>
      </w:r>
      <w:r>
        <w:fldChar w:fldCharType="end"/>
      </w:r>
      <w:r>
        <w:fldChar w:fldCharType="end"/>
      </w:r>
    </w:p>
    <w:p>
      <w:r>
        <w:fldChar w:fldCharType="end"/>
      </w:r>
    </w:p>
    <w:p/>
    <w:p/>
    <w:p/>
    <w:p/>
    <w:p/>
    <w:p/>
    <w:p/>
    <w:p/>
    <w:p/>
    <w:p/>
    <w:p/>
    <w:p/>
    <w:p/>
    <w:p/>
    <w:p/>
    <w:p/>
    <w:p/>
    <w:p/>
    <w:p/>
    <w:p/>
    <w:p/>
    <w:p/>
    <w:p/>
    <w:p/>
    <w:p/>
    <w:p/>
    <w:p/>
    <w:p/>
    <w:p/>
    <w:p/>
    <w:p>
      <w:pPr>
        <w:jc w:val="center"/>
      </w:pPr>
      <w:r>
        <w:rPr>
          <w:rFonts w:hint="eastAsia"/>
          <w:b/>
          <w:sz w:val="24"/>
        </w:rPr>
        <w:t>图表目录</w:t>
      </w:r>
      <w:r>
        <w:rPr>
          <w:b/>
        </w:rPr>
        <w:fldChar w:fldCharType="begin"/>
      </w:r>
      <w:r>
        <w:rPr>
          <w:b/>
        </w:rPr>
        <w:instrText xml:space="preserve"> TOC \h \z \c "图1-" </w:instrText>
      </w:r>
      <w:r>
        <w:rPr>
          <w:b/>
        </w:rPr>
        <w:fldChar w:fldCharType="separate"/>
      </w:r>
    </w:p>
    <w:p>
      <w:pPr>
        <w:pStyle w:val="17"/>
        <w:tabs>
          <w:tab w:val="right" w:leader="dot" w:pos="8296"/>
        </w:tabs>
        <w:rPr>
          <w:caps w:val="0"/>
          <w:sz w:val="21"/>
          <w:szCs w:val="22"/>
        </w:rPr>
      </w:pPr>
      <w:r>
        <w:fldChar w:fldCharType="begin"/>
      </w:r>
      <w:r>
        <w:instrText xml:space="preserve"> HYPERLINK \l "_Toc470887060" </w:instrText>
      </w:r>
      <w:r>
        <w:fldChar w:fldCharType="separate"/>
      </w:r>
      <w:r>
        <w:rPr>
          <w:rStyle w:val="21"/>
          <w:rFonts w:hint="eastAsia" w:asciiTheme="minorEastAsia" w:hAnsiTheme="minorEastAsia"/>
        </w:rPr>
        <w:t>图</w:t>
      </w:r>
      <w:r>
        <w:rPr>
          <w:rStyle w:val="21"/>
          <w:rFonts w:asciiTheme="minorEastAsia" w:hAnsiTheme="minorEastAsia"/>
        </w:rPr>
        <w:t>1-1 2016</w:t>
      </w:r>
      <w:r>
        <w:rPr>
          <w:rStyle w:val="21"/>
          <w:rFonts w:hint="eastAsia" w:asciiTheme="minorEastAsia" w:hAnsiTheme="minorEastAsia"/>
        </w:rPr>
        <w:t>届毕业生学历层次分布</w:t>
      </w:r>
      <w:r>
        <w:tab/>
      </w:r>
      <w:r>
        <w:fldChar w:fldCharType="begin"/>
      </w:r>
      <w:r>
        <w:instrText xml:space="preserve"> PAGEREF _Toc470887060 \h </w:instrText>
      </w:r>
      <w:r>
        <w:fldChar w:fldCharType="separate"/>
      </w:r>
      <w:r>
        <w:t>4</w:t>
      </w:r>
      <w:r>
        <w:fldChar w:fldCharType="end"/>
      </w:r>
      <w:r>
        <w:fldChar w:fldCharType="end"/>
      </w:r>
    </w:p>
    <w:p>
      <w:pPr>
        <w:pStyle w:val="17"/>
        <w:tabs>
          <w:tab w:val="right" w:leader="dot" w:pos="8296"/>
        </w:tabs>
        <w:rPr>
          <w:caps w:val="0"/>
          <w:sz w:val="21"/>
          <w:szCs w:val="22"/>
        </w:rPr>
      </w:pPr>
      <w:r>
        <w:fldChar w:fldCharType="begin"/>
      </w:r>
      <w:r>
        <w:instrText xml:space="preserve"> HYPERLINK \l "_Toc470887061" </w:instrText>
      </w:r>
      <w:r>
        <w:fldChar w:fldCharType="separate"/>
      </w:r>
      <w:r>
        <w:rPr>
          <w:rStyle w:val="21"/>
          <w:rFonts w:hint="eastAsia" w:asciiTheme="minorEastAsia" w:hAnsiTheme="minorEastAsia"/>
        </w:rPr>
        <w:t>图</w:t>
      </w:r>
      <w:r>
        <w:rPr>
          <w:rStyle w:val="21"/>
          <w:rFonts w:asciiTheme="minorEastAsia" w:hAnsiTheme="minorEastAsia"/>
        </w:rPr>
        <w:t>1-2 2016</w:t>
      </w:r>
      <w:r>
        <w:rPr>
          <w:rStyle w:val="21"/>
          <w:rFonts w:hint="eastAsia" w:asciiTheme="minorEastAsia" w:hAnsiTheme="minorEastAsia"/>
        </w:rPr>
        <w:t>届毕业生外省生源地域分布</w:t>
      </w:r>
      <w:r>
        <w:tab/>
      </w:r>
      <w:r>
        <w:fldChar w:fldCharType="begin"/>
      </w:r>
      <w:r>
        <w:instrText xml:space="preserve"> PAGEREF _Toc470887061 \h </w:instrText>
      </w:r>
      <w:r>
        <w:fldChar w:fldCharType="separate"/>
      </w:r>
      <w:r>
        <w:t>5</w:t>
      </w:r>
      <w:r>
        <w:fldChar w:fldCharType="end"/>
      </w:r>
      <w:r>
        <w:fldChar w:fldCharType="end"/>
      </w:r>
    </w:p>
    <w:p>
      <w:pPr>
        <w:pStyle w:val="17"/>
        <w:tabs>
          <w:tab w:val="right" w:leader="dot" w:pos="8296"/>
        </w:tabs>
        <w:rPr>
          <w:caps w:val="0"/>
          <w:sz w:val="21"/>
          <w:szCs w:val="22"/>
        </w:rPr>
      </w:pPr>
      <w:r>
        <w:fldChar w:fldCharType="begin"/>
      </w:r>
      <w:r>
        <w:instrText xml:space="preserve"> HYPERLINK \l "_Toc470887062" </w:instrText>
      </w:r>
      <w:r>
        <w:fldChar w:fldCharType="separate"/>
      </w:r>
      <w:r>
        <w:rPr>
          <w:rStyle w:val="21"/>
          <w:rFonts w:hint="eastAsia" w:asciiTheme="minorEastAsia" w:hAnsiTheme="minorEastAsia"/>
        </w:rPr>
        <w:t>图</w:t>
      </w:r>
      <w:r>
        <w:rPr>
          <w:rStyle w:val="21"/>
          <w:rFonts w:asciiTheme="minorEastAsia" w:hAnsiTheme="minorEastAsia"/>
        </w:rPr>
        <w:t>1-3 2016</w:t>
      </w:r>
      <w:r>
        <w:rPr>
          <w:rStyle w:val="21"/>
          <w:rFonts w:hint="eastAsia" w:asciiTheme="minorEastAsia" w:hAnsiTheme="minorEastAsia"/>
        </w:rPr>
        <w:t>届毕业生民族分布情况</w:t>
      </w:r>
      <w:r>
        <w:tab/>
      </w:r>
      <w:r>
        <w:fldChar w:fldCharType="begin"/>
      </w:r>
      <w:r>
        <w:instrText xml:space="preserve"> PAGEREF _Toc470887062 \h </w:instrText>
      </w:r>
      <w:r>
        <w:fldChar w:fldCharType="separate"/>
      </w:r>
      <w:r>
        <w:t>6</w:t>
      </w:r>
      <w:r>
        <w:fldChar w:fldCharType="end"/>
      </w:r>
      <w:r>
        <w:fldChar w:fldCharType="end"/>
      </w:r>
    </w:p>
    <w:p>
      <w:pPr>
        <w:pStyle w:val="17"/>
        <w:tabs>
          <w:tab w:val="right" w:leader="dot" w:pos="8296"/>
        </w:tabs>
        <w:rPr>
          <w:caps w:val="0"/>
          <w:sz w:val="21"/>
          <w:szCs w:val="22"/>
        </w:rPr>
      </w:pPr>
      <w:r>
        <w:fldChar w:fldCharType="begin"/>
      </w:r>
      <w:r>
        <w:instrText xml:space="preserve"> HYPERLINK \l "_Toc470887063" </w:instrText>
      </w:r>
      <w:r>
        <w:fldChar w:fldCharType="separate"/>
      </w:r>
      <w:r>
        <w:rPr>
          <w:rStyle w:val="21"/>
          <w:rFonts w:hint="eastAsia" w:asciiTheme="minorEastAsia" w:hAnsiTheme="minorEastAsia"/>
        </w:rPr>
        <w:t>图</w:t>
      </w:r>
      <w:r>
        <w:rPr>
          <w:rStyle w:val="21"/>
          <w:rFonts w:asciiTheme="minorEastAsia" w:hAnsiTheme="minorEastAsia"/>
        </w:rPr>
        <w:t>1-4 2016</w:t>
      </w:r>
      <w:r>
        <w:rPr>
          <w:rStyle w:val="21"/>
          <w:rFonts w:hint="eastAsia" w:asciiTheme="minorEastAsia" w:hAnsiTheme="minorEastAsia"/>
        </w:rPr>
        <w:t>届毕业生学院分布情况</w:t>
      </w:r>
      <w:r>
        <w:tab/>
      </w:r>
      <w:r>
        <w:fldChar w:fldCharType="begin"/>
      </w:r>
      <w:r>
        <w:instrText xml:space="preserve"> PAGEREF _Toc470887063 \h </w:instrText>
      </w:r>
      <w:r>
        <w:fldChar w:fldCharType="separate"/>
      </w:r>
      <w:r>
        <w:t>7</w:t>
      </w:r>
      <w:r>
        <w:fldChar w:fldCharType="end"/>
      </w:r>
      <w:r>
        <w:fldChar w:fldCharType="end"/>
      </w:r>
    </w:p>
    <w:p>
      <w:r>
        <w:fldChar w:fldCharType="end"/>
      </w:r>
      <w:r>
        <w:fldChar w:fldCharType="begin"/>
      </w:r>
      <w:r>
        <w:instrText xml:space="preserve"> TOC \h \z \c "图2-" </w:instrText>
      </w:r>
      <w:r>
        <w:fldChar w:fldCharType="separate"/>
      </w:r>
    </w:p>
    <w:p>
      <w:pPr>
        <w:pStyle w:val="17"/>
        <w:tabs>
          <w:tab w:val="right" w:leader="dot" w:pos="8296"/>
        </w:tabs>
        <w:rPr>
          <w:caps w:val="0"/>
          <w:sz w:val="21"/>
          <w:szCs w:val="22"/>
        </w:rPr>
      </w:pPr>
      <w:r>
        <w:fldChar w:fldCharType="begin"/>
      </w:r>
      <w:r>
        <w:instrText xml:space="preserve"> HYPERLINK \l "_Toc470887046" </w:instrText>
      </w:r>
      <w:r>
        <w:fldChar w:fldCharType="separate"/>
      </w:r>
      <w:r>
        <w:rPr>
          <w:rStyle w:val="21"/>
          <w:rFonts w:hint="eastAsia" w:asciiTheme="majorEastAsia" w:hAnsiTheme="majorEastAsia" w:eastAsiaTheme="majorEastAsia"/>
        </w:rPr>
        <w:t>图</w:t>
      </w:r>
      <w:r>
        <w:rPr>
          <w:rStyle w:val="21"/>
          <w:rFonts w:asciiTheme="majorEastAsia" w:hAnsiTheme="majorEastAsia" w:eastAsiaTheme="majorEastAsia"/>
        </w:rPr>
        <w:t>2-1 2016</w:t>
      </w:r>
      <w:r>
        <w:rPr>
          <w:rStyle w:val="21"/>
          <w:rFonts w:hint="eastAsia" w:asciiTheme="majorEastAsia" w:hAnsiTheme="majorEastAsia" w:eastAsiaTheme="majorEastAsia"/>
        </w:rPr>
        <w:t>届毕业生分性别就业率分布</w:t>
      </w:r>
      <w:r>
        <w:tab/>
      </w:r>
      <w:r>
        <w:fldChar w:fldCharType="begin"/>
      </w:r>
      <w:r>
        <w:instrText xml:space="preserve"> PAGEREF _Toc470887046 \h </w:instrText>
      </w:r>
      <w:r>
        <w:fldChar w:fldCharType="separate"/>
      </w:r>
      <w:r>
        <w:t>10</w:t>
      </w:r>
      <w:r>
        <w:fldChar w:fldCharType="end"/>
      </w:r>
      <w:r>
        <w:fldChar w:fldCharType="end"/>
      </w:r>
    </w:p>
    <w:p>
      <w:pPr>
        <w:pStyle w:val="17"/>
        <w:tabs>
          <w:tab w:val="right" w:leader="dot" w:pos="8296"/>
        </w:tabs>
        <w:rPr>
          <w:caps w:val="0"/>
          <w:sz w:val="21"/>
          <w:szCs w:val="22"/>
        </w:rPr>
      </w:pPr>
      <w:r>
        <w:fldChar w:fldCharType="begin"/>
      </w:r>
      <w:r>
        <w:instrText xml:space="preserve"> HYPERLINK \l "_Toc470887047" </w:instrText>
      </w:r>
      <w:r>
        <w:fldChar w:fldCharType="separate"/>
      </w:r>
      <w:r>
        <w:rPr>
          <w:rStyle w:val="21"/>
          <w:rFonts w:hint="eastAsia" w:asciiTheme="minorEastAsia" w:hAnsiTheme="minorEastAsia"/>
        </w:rPr>
        <w:t>图</w:t>
      </w:r>
      <w:r>
        <w:rPr>
          <w:rStyle w:val="21"/>
          <w:rFonts w:asciiTheme="minorEastAsia" w:hAnsiTheme="minorEastAsia"/>
        </w:rPr>
        <w:t>2-2 2016</w:t>
      </w:r>
      <w:r>
        <w:rPr>
          <w:rStyle w:val="21"/>
          <w:rFonts w:hint="eastAsia" w:asciiTheme="minorEastAsia" w:hAnsiTheme="minorEastAsia"/>
        </w:rPr>
        <w:t>届毕业生不同学历困难生初次就业率分布</w:t>
      </w:r>
      <w:r>
        <w:tab/>
      </w:r>
      <w:r>
        <w:fldChar w:fldCharType="begin"/>
      </w:r>
      <w:r>
        <w:instrText xml:space="preserve"> PAGEREF _Toc470887047 \h </w:instrText>
      </w:r>
      <w:r>
        <w:fldChar w:fldCharType="separate"/>
      </w:r>
      <w:r>
        <w:t>13</w:t>
      </w:r>
      <w:r>
        <w:fldChar w:fldCharType="end"/>
      </w:r>
      <w:r>
        <w:fldChar w:fldCharType="end"/>
      </w:r>
    </w:p>
    <w:p>
      <w:pPr>
        <w:pStyle w:val="17"/>
        <w:tabs>
          <w:tab w:val="right" w:leader="dot" w:pos="8296"/>
        </w:tabs>
        <w:rPr>
          <w:caps w:val="0"/>
          <w:sz w:val="21"/>
          <w:szCs w:val="22"/>
        </w:rPr>
      </w:pPr>
      <w:r>
        <w:fldChar w:fldCharType="begin"/>
      </w:r>
      <w:r>
        <w:instrText xml:space="preserve"> HYPERLINK \l "_Toc470887048" </w:instrText>
      </w:r>
      <w:r>
        <w:fldChar w:fldCharType="separate"/>
      </w:r>
      <w:r>
        <w:rPr>
          <w:rStyle w:val="21"/>
          <w:rFonts w:hint="eastAsia" w:asciiTheme="minorEastAsia" w:hAnsiTheme="minorEastAsia"/>
        </w:rPr>
        <w:t>图</w:t>
      </w:r>
      <w:r>
        <w:rPr>
          <w:rStyle w:val="21"/>
          <w:rFonts w:asciiTheme="minorEastAsia" w:hAnsiTheme="minorEastAsia"/>
        </w:rPr>
        <w:t>2-3 2016</w:t>
      </w:r>
      <w:r>
        <w:rPr>
          <w:rStyle w:val="21"/>
          <w:rFonts w:hint="eastAsia" w:asciiTheme="minorEastAsia" w:hAnsiTheme="minorEastAsia"/>
        </w:rPr>
        <w:t>届不同学历层次毕业去向分布</w:t>
      </w:r>
      <w:r>
        <w:tab/>
      </w:r>
      <w:r>
        <w:fldChar w:fldCharType="begin"/>
      </w:r>
      <w:r>
        <w:instrText xml:space="preserve"> PAGEREF _Toc470887048 \h </w:instrText>
      </w:r>
      <w:r>
        <w:fldChar w:fldCharType="separate"/>
      </w:r>
      <w:r>
        <w:t>13</w:t>
      </w:r>
      <w:r>
        <w:fldChar w:fldCharType="end"/>
      </w:r>
      <w:r>
        <w:fldChar w:fldCharType="end"/>
      </w:r>
    </w:p>
    <w:p>
      <w:pPr>
        <w:pStyle w:val="17"/>
        <w:tabs>
          <w:tab w:val="right" w:leader="dot" w:pos="8296"/>
        </w:tabs>
        <w:rPr>
          <w:caps w:val="0"/>
          <w:sz w:val="21"/>
          <w:szCs w:val="22"/>
        </w:rPr>
      </w:pPr>
      <w:r>
        <w:fldChar w:fldCharType="begin"/>
      </w:r>
      <w:r>
        <w:instrText xml:space="preserve"> HYPERLINK \l "_Toc470887049" </w:instrText>
      </w:r>
      <w:r>
        <w:fldChar w:fldCharType="separate"/>
      </w:r>
      <w:r>
        <w:rPr>
          <w:rStyle w:val="21"/>
          <w:rFonts w:hint="eastAsia" w:asciiTheme="minorEastAsia" w:hAnsiTheme="minorEastAsia"/>
        </w:rPr>
        <w:t>图</w:t>
      </w:r>
      <w:r>
        <w:rPr>
          <w:rStyle w:val="21"/>
          <w:rFonts w:asciiTheme="minorEastAsia" w:hAnsiTheme="minorEastAsia"/>
        </w:rPr>
        <w:t>2-4 2016</w:t>
      </w:r>
      <w:r>
        <w:rPr>
          <w:rStyle w:val="21"/>
          <w:rFonts w:hint="eastAsia" w:asciiTheme="minorEastAsia" w:hAnsiTheme="minorEastAsia"/>
        </w:rPr>
        <w:t>届专科毕业生就业单位性质分布</w:t>
      </w:r>
      <w:r>
        <w:tab/>
      </w:r>
      <w:r>
        <w:fldChar w:fldCharType="begin"/>
      </w:r>
      <w:r>
        <w:instrText xml:space="preserve"> PAGEREF _Toc470887049 \h </w:instrText>
      </w:r>
      <w:r>
        <w:fldChar w:fldCharType="separate"/>
      </w:r>
      <w:r>
        <w:t>14</w:t>
      </w:r>
      <w:r>
        <w:fldChar w:fldCharType="end"/>
      </w:r>
      <w:r>
        <w:fldChar w:fldCharType="end"/>
      </w:r>
    </w:p>
    <w:p>
      <w:pPr>
        <w:pStyle w:val="17"/>
        <w:tabs>
          <w:tab w:val="right" w:leader="dot" w:pos="8296"/>
        </w:tabs>
        <w:rPr>
          <w:caps w:val="0"/>
          <w:sz w:val="21"/>
          <w:szCs w:val="22"/>
        </w:rPr>
      </w:pPr>
      <w:r>
        <w:fldChar w:fldCharType="begin"/>
      </w:r>
      <w:r>
        <w:instrText xml:space="preserve"> HYPERLINK \l "_Toc470887050" </w:instrText>
      </w:r>
      <w:r>
        <w:fldChar w:fldCharType="separate"/>
      </w:r>
      <w:r>
        <w:rPr>
          <w:rStyle w:val="21"/>
          <w:rFonts w:hint="eastAsia" w:asciiTheme="minorEastAsia" w:hAnsiTheme="minorEastAsia"/>
        </w:rPr>
        <w:t>图</w:t>
      </w:r>
      <w:r>
        <w:rPr>
          <w:rStyle w:val="21"/>
          <w:rFonts w:asciiTheme="minorEastAsia" w:hAnsiTheme="minorEastAsia"/>
        </w:rPr>
        <w:t>2-5 2016</w:t>
      </w:r>
      <w:r>
        <w:rPr>
          <w:rStyle w:val="21"/>
          <w:rFonts w:hint="eastAsia" w:asciiTheme="minorEastAsia" w:hAnsiTheme="minorEastAsia"/>
        </w:rPr>
        <w:t>届本科毕业生就业单位性质分布</w:t>
      </w:r>
      <w:r>
        <w:tab/>
      </w:r>
      <w:r>
        <w:fldChar w:fldCharType="begin"/>
      </w:r>
      <w:r>
        <w:instrText xml:space="preserve"> PAGEREF _Toc470887050 \h </w:instrText>
      </w:r>
      <w:r>
        <w:fldChar w:fldCharType="separate"/>
      </w:r>
      <w:r>
        <w:t>15</w:t>
      </w:r>
      <w:r>
        <w:fldChar w:fldCharType="end"/>
      </w:r>
      <w:r>
        <w:fldChar w:fldCharType="end"/>
      </w:r>
    </w:p>
    <w:p>
      <w:pPr>
        <w:pStyle w:val="17"/>
        <w:tabs>
          <w:tab w:val="right" w:leader="dot" w:pos="8296"/>
        </w:tabs>
        <w:rPr>
          <w:caps w:val="0"/>
          <w:sz w:val="21"/>
          <w:szCs w:val="22"/>
        </w:rPr>
      </w:pPr>
      <w:r>
        <w:fldChar w:fldCharType="begin"/>
      </w:r>
      <w:r>
        <w:instrText xml:space="preserve"> HYPERLINK \l "_Toc470887051" </w:instrText>
      </w:r>
      <w:r>
        <w:fldChar w:fldCharType="separate"/>
      </w:r>
      <w:r>
        <w:rPr>
          <w:rStyle w:val="21"/>
          <w:rFonts w:hint="eastAsia" w:asciiTheme="minorEastAsia" w:hAnsiTheme="minorEastAsia"/>
        </w:rPr>
        <w:t>图</w:t>
      </w:r>
      <w:r>
        <w:rPr>
          <w:rStyle w:val="21"/>
          <w:rFonts w:asciiTheme="minorEastAsia" w:hAnsiTheme="minorEastAsia"/>
        </w:rPr>
        <w:t>2-6 2016</w:t>
      </w:r>
      <w:r>
        <w:rPr>
          <w:rStyle w:val="21"/>
          <w:rFonts w:hint="eastAsia" w:asciiTheme="minorEastAsia" w:hAnsiTheme="minorEastAsia"/>
        </w:rPr>
        <w:t>届毕业生外省就业区域分布</w:t>
      </w:r>
      <w:r>
        <w:tab/>
      </w:r>
      <w:r>
        <w:fldChar w:fldCharType="begin"/>
      </w:r>
      <w:r>
        <w:instrText xml:space="preserve"> PAGEREF _Toc470887051 \h </w:instrText>
      </w:r>
      <w:r>
        <w:fldChar w:fldCharType="separate"/>
      </w:r>
      <w:r>
        <w:t>16</w:t>
      </w:r>
      <w:r>
        <w:fldChar w:fldCharType="end"/>
      </w:r>
      <w:r>
        <w:fldChar w:fldCharType="end"/>
      </w:r>
    </w:p>
    <w:p>
      <w:pPr>
        <w:pStyle w:val="17"/>
        <w:tabs>
          <w:tab w:val="right" w:leader="dot" w:pos="8296"/>
        </w:tabs>
        <w:rPr>
          <w:caps w:val="0"/>
          <w:sz w:val="21"/>
          <w:szCs w:val="22"/>
        </w:rPr>
      </w:pPr>
      <w:r>
        <w:fldChar w:fldCharType="begin"/>
      </w:r>
      <w:r>
        <w:instrText xml:space="preserve"> HYPERLINK \l "_Toc470887052" </w:instrText>
      </w:r>
      <w:r>
        <w:fldChar w:fldCharType="separate"/>
      </w:r>
      <w:r>
        <w:rPr>
          <w:rStyle w:val="21"/>
          <w:rFonts w:hint="eastAsia" w:asciiTheme="minorEastAsia" w:hAnsiTheme="minorEastAsia"/>
        </w:rPr>
        <w:t>图</w:t>
      </w:r>
      <w:r>
        <w:rPr>
          <w:rStyle w:val="21"/>
          <w:rFonts w:asciiTheme="minorEastAsia" w:hAnsiTheme="minorEastAsia"/>
        </w:rPr>
        <w:t>2-7 2016</w:t>
      </w:r>
      <w:r>
        <w:rPr>
          <w:rStyle w:val="21"/>
          <w:rFonts w:hint="eastAsia" w:asciiTheme="minorEastAsia" w:hAnsiTheme="minorEastAsia"/>
        </w:rPr>
        <w:t>届毕业生湖南省各市就业人数分布</w:t>
      </w:r>
      <w:r>
        <w:tab/>
      </w:r>
      <w:r>
        <w:fldChar w:fldCharType="begin"/>
      </w:r>
      <w:r>
        <w:instrText xml:space="preserve"> PAGEREF _Toc470887052 \h </w:instrText>
      </w:r>
      <w:r>
        <w:fldChar w:fldCharType="separate"/>
      </w:r>
      <w:r>
        <w:t>17</w:t>
      </w:r>
      <w:r>
        <w:fldChar w:fldCharType="end"/>
      </w:r>
      <w:r>
        <w:fldChar w:fldCharType="end"/>
      </w:r>
    </w:p>
    <w:p>
      <w:pPr>
        <w:pStyle w:val="17"/>
        <w:tabs>
          <w:tab w:val="right" w:leader="dot" w:pos="8296"/>
        </w:tabs>
        <w:rPr>
          <w:caps w:val="0"/>
          <w:sz w:val="21"/>
          <w:szCs w:val="22"/>
        </w:rPr>
      </w:pPr>
      <w:r>
        <w:fldChar w:fldCharType="begin"/>
      </w:r>
      <w:r>
        <w:instrText xml:space="preserve"> HYPERLINK \l "_Toc470887053" </w:instrText>
      </w:r>
      <w:r>
        <w:fldChar w:fldCharType="separate"/>
      </w:r>
      <w:r>
        <w:rPr>
          <w:rStyle w:val="21"/>
          <w:rFonts w:hint="eastAsia" w:asciiTheme="minorEastAsia" w:hAnsiTheme="minorEastAsia"/>
        </w:rPr>
        <w:t>图</w:t>
      </w:r>
      <w:r>
        <w:rPr>
          <w:rStyle w:val="21"/>
          <w:rFonts w:asciiTheme="minorEastAsia" w:hAnsiTheme="minorEastAsia"/>
        </w:rPr>
        <w:t>2-8 2016</w:t>
      </w:r>
      <w:r>
        <w:rPr>
          <w:rStyle w:val="21"/>
          <w:rFonts w:hint="eastAsia" w:asciiTheme="minorEastAsia" w:hAnsiTheme="minorEastAsia"/>
        </w:rPr>
        <w:t>届毕业生单位行业分布比例</w:t>
      </w:r>
      <w:r>
        <w:tab/>
      </w:r>
      <w:r>
        <w:fldChar w:fldCharType="begin"/>
      </w:r>
      <w:r>
        <w:instrText xml:space="preserve"> PAGEREF _Toc470887053 \h </w:instrText>
      </w:r>
      <w:r>
        <w:fldChar w:fldCharType="separate"/>
      </w:r>
      <w:r>
        <w:t>18</w:t>
      </w:r>
      <w:r>
        <w:fldChar w:fldCharType="end"/>
      </w:r>
      <w:r>
        <w:fldChar w:fldCharType="end"/>
      </w:r>
    </w:p>
    <w:p>
      <w:pPr>
        <w:pStyle w:val="17"/>
        <w:tabs>
          <w:tab w:val="right" w:leader="dot" w:pos="8296"/>
        </w:tabs>
        <w:rPr>
          <w:caps w:val="0"/>
          <w:sz w:val="21"/>
          <w:szCs w:val="22"/>
        </w:rPr>
      </w:pPr>
      <w:r>
        <w:fldChar w:fldCharType="begin"/>
      </w:r>
      <w:r>
        <w:instrText xml:space="preserve"> HYPERLINK \l "_Toc470887054" </w:instrText>
      </w:r>
      <w:r>
        <w:fldChar w:fldCharType="separate"/>
      </w:r>
      <w:r>
        <w:rPr>
          <w:rStyle w:val="21"/>
          <w:rFonts w:hint="eastAsia" w:asciiTheme="minorEastAsia" w:hAnsiTheme="minorEastAsia"/>
        </w:rPr>
        <w:t>图</w:t>
      </w:r>
      <w:r>
        <w:rPr>
          <w:rStyle w:val="21"/>
          <w:rFonts w:asciiTheme="minorEastAsia" w:hAnsiTheme="minorEastAsia"/>
        </w:rPr>
        <w:t>2-9 2016</w:t>
      </w:r>
      <w:r>
        <w:rPr>
          <w:rStyle w:val="21"/>
          <w:rFonts w:hint="eastAsia" w:asciiTheme="minorEastAsia" w:hAnsiTheme="minorEastAsia"/>
        </w:rPr>
        <w:t>届毕业生就业岗位分布</w:t>
      </w:r>
      <w:r>
        <w:tab/>
      </w:r>
      <w:r>
        <w:fldChar w:fldCharType="begin"/>
      </w:r>
      <w:r>
        <w:instrText xml:space="preserve"> PAGEREF _Toc470887054 \h </w:instrText>
      </w:r>
      <w:r>
        <w:fldChar w:fldCharType="separate"/>
      </w:r>
      <w:r>
        <w:t>19</w:t>
      </w:r>
      <w:r>
        <w:fldChar w:fldCharType="end"/>
      </w:r>
      <w:r>
        <w:fldChar w:fldCharType="end"/>
      </w:r>
    </w:p>
    <w:p>
      <w:pPr>
        <w:pStyle w:val="17"/>
        <w:tabs>
          <w:tab w:val="right" w:leader="dot" w:pos="8296"/>
        </w:tabs>
        <w:rPr>
          <w:caps w:val="0"/>
          <w:sz w:val="21"/>
          <w:szCs w:val="22"/>
        </w:rPr>
      </w:pPr>
      <w:r>
        <w:fldChar w:fldCharType="begin"/>
      </w:r>
      <w:r>
        <w:instrText xml:space="preserve"> HYPERLINK \l "_Toc470887055" </w:instrText>
      </w:r>
      <w:r>
        <w:fldChar w:fldCharType="separate"/>
      </w:r>
      <w:r>
        <w:rPr>
          <w:rStyle w:val="21"/>
          <w:rFonts w:hint="eastAsia" w:asciiTheme="minorEastAsia" w:hAnsiTheme="minorEastAsia"/>
        </w:rPr>
        <w:t>图</w:t>
      </w:r>
      <w:r>
        <w:rPr>
          <w:rStyle w:val="21"/>
          <w:rFonts w:asciiTheme="minorEastAsia" w:hAnsiTheme="minorEastAsia"/>
        </w:rPr>
        <w:t>2-10 2016</w:t>
      </w:r>
      <w:r>
        <w:rPr>
          <w:rStyle w:val="21"/>
          <w:rFonts w:hint="eastAsia" w:asciiTheme="minorEastAsia" w:hAnsiTheme="minorEastAsia"/>
        </w:rPr>
        <w:t>届选择升学本科毕业生升学人数分布前十名学校</w:t>
      </w:r>
      <w:r>
        <w:tab/>
      </w:r>
      <w:r>
        <w:fldChar w:fldCharType="begin"/>
      </w:r>
      <w:r>
        <w:instrText xml:space="preserve"> PAGEREF _Toc470887055 \h </w:instrText>
      </w:r>
      <w:r>
        <w:fldChar w:fldCharType="separate"/>
      </w:r>
      <w:r>
        <w:t>20</w:t>
      </w:r>
      <w:r>
        <w:fldChar w:fldCharType="end"/>
      </w:r>
      <w:r>
        <w:fldChar w:fldCharType="end"/>
      </w:r>
    </w:p>
    <w:p>
      <w:pPr>
        <w:pStyle w:val="17"/>
        <w:tabs>
          <w:tab w:val="right" w:leader="dot" w:pos="8296"/>
        </w:tabs>
        <w:rPr>
          <w:caps w:val="0"/>
          <w:sz w:val="21"/>
          <w:szCs w:val="22"/>
        </w:rPr>
      </w:pPr>
      <w:r>
        <w:fldChar w:fldCharType="begin"/>
      </w:r>
      <w:r>
        <w:instrText xml:space="preserve"> HYPERLINK \l "_Toc470887056" </w:instrText>
      </w:r>
      <w:r>
        <w:fldChar w:fldCharType="separate"/>
      </w:r>
      <w:r>
        <w:rPr>
          <w:rStyle w:val="21"/>
          <w:rFonts w:hint="eastAsia" w:asciiTheme="minorEastAsia" w:hAnsiTheme="minorEastAsia"/>
        </w:rPr>
        <w:t>图</w:t>
      </w:r>
      <w:r>
        <w:rPr>
          <w:rStyle w:val="21"/>
          <w:rFonts w:asciiTheme="minorEastAsia" w:hAnsiTheme="minorEastAsia"/>
        </w:rPr>
        <w:t>2-11 2016</w:t>
      </w:r>
      <w:r>
        <w:rPr>
          <w:rStyle w:val="21"/>
          <w:rFonts w:hint="eastAsia" w:asciiTheme="minorEastAsia" w:hAnsiTheme="minorEastAsia"/>
        </w:rPr>
        <w:t>届选择升学本科毕业生专业占比前十名分布</w:t>
      </w:r>
      <w:r>
        <w:tab/>
      </w:r>
      <w:r>
        <w:fldChar w:fldCharType="begin"/>
      </w:r>
      <w:r>
        <w:instrText xml:space="preserve"> PAGEREF _Toc470887056 \h </w:instrText>
      </w:r>
      <w:r>
        <w:fldChar w:fldCharType="separate"/>
      </w:r>
      <w:r>
        <w:t>21</w:t>
      </w:r>
      <w:r>
        <w:fldChar w:fldCharType="end"/>
      </w:r>
      <w:r>
        <w:fldChar w:fldCharType="end"/>
      </w:r>
    </w:p>
    <w:p>
      <w:pPr>
        <w:pStyle w:val="17"/>
        <w:tabs>
          <w:tab w:val="right" w:leader="dot" w:pos="8296"/>
        </w:tabs>
        <w:rPr>
          <w:caps w:val="0"/>
          <w:sz w:val="21"/>
          <w:szCs w:val="22"/>
        </w:rPr>
      </w:pPr>
      <w:r>
        <w:fldChar w:fldCharType="begin"/>
      </w:r>
      <w:r>
        <w:instrText xml:space="preserve"> HYPERLINK \l "_Toc470887057" </w:instrText>
      </w:r>
      <w:r>
        <w:fldChar w:fldCharType="separate"/>
      </w:r>
      <w:r>
        <w:rPr>
          <w:rStyle w:val="21"/>
          <w:rFonts w:hint="eastAsia" w:asciiTheme="minorEastAsia" w:hAnsiTheme="minorEastAsia"/>
        </w:rPr>
        <w:t>图</w:t>
      </w:r>
      <w:r>
        <w:rPr>
          <w:rStyle w:val="21"/>
          <w:rFonts w:asciiTheme="minorEastAsia" w:hAnsiTheme="minorEastAsia"/>
        </w:rPr>
        <w:t>2-12 2016</w:t>
      </w:r>
      <w:r>
        <w:rPr>
          <w:rStyle w:val="21"/>
          <w:rFonts w:hint="eastAsia" w:asciiTheme="minorEastAsia" w:hAnsiTheme="minorEastAsia"/>
        </w:rPr>
        <w:t>届升学本</w:t>
      </w:r>
      <w:r>
        <w:rPr>
          <w:rStyle w:val="21"/>
          <w:rFonts w:asciiTheme="minorEastAsia" w:hAnsiTheme="minorEastAsia"/>
        </w:rPr>
        <w:t>科</w:t>
      </w:r>
      <w:r>
        <w:rPr>
          <w:rStyle w:val="21"/>
          <w:rFonts w:hint="eastAsia" w:asciiTheme="minorEastAsia" w:hAnsiTheme="minorEastAsia"/>
        </w:rPr>
        <w:t>毕业生选择大学所在省份分布</w:t>
      </w:r>
      <w:r>
        <w:tab/>
      </w:r>
      <w:r>
        <w:fldChar w:fldCharType="begin"/>
      </w:r>
      <w:r>
        <w:instrText xml:space="preserve"> PAGEREF _Toc470887057 \h </w:instrText>
      </w:r>
      <w:r>
        <w:fldChar w:fldCharType="separate"/>
      </w:r>
      <w:r>
        <w:t>22</w:t>
      </w:r>
      <w:r>
        <w:fldChar w:fldCharType="end"/>
      </w:r>
      <w:r>
        <w:fldChar w:fldCharType="end"/>
      </w:r>
    </w:p>
    <w:p>
      <w:pPr>
        <w:pStyle w:val="17"/>
        <w:tabs>
          <w:tab w:val="right" w:leader="dot" w:pos="8296"/>
        </w:tabs>
        <w:rPr>
          <w:caps w:val="0"/>
          <w:sz w:val="21"/>
          <w:szCs w:val="22"/>
        </w:rPr>
      </w:pPr>
      <w:r>
        <w:fldChar w:fldCharType="begin"/>
      </w:r>
      <w:r>
        <w:instrText xml:space="preserve"> HYPERLINK \l "_Toc470887058" </w:instrText>
      </w:r>
      <w:r>
        <w:fldChar w:fldCharType="separate"/>
      </w:r>
      <w:r>
        <w:rPr>
          <w:rStyle w:val="21"/>
          <w:rFonts w:hint="eastAsia" w:asciiTheme="minorEastAsia" w:hAnsiTheme="minorEastAsia"/>
        </w:rPr>
        <w:t>图</w:t>
      </w:r>
      <w:r>
        <w:rPr>
          <w:rStyle w:val="21"/>
          <w:rFonts w:asciiTheme="minorEastAsia" w:hAnsiTheme="minorEastAsia"/>
        </w:rPr>
        <w:t>2-13 2016</w:t>
      </w:r>
      <w:r>
        <w:rPr>
          <w:rStyle w:val="21"/>
          <w:rFonts w:hint="eastAsia" w:asciiTheme="minorEastAsia" w:hAnsiTheme="minorEastAsia"/>
        </w:rPr>
        <w:t>届本科毕业生出国国家分布</w:t>
      </w:r>
      <w:r>
        <w:tab/>
      </w:r>
      <w:r>
        <w:fldChar w:fldCharType="begin"/>
      </w:r>
      <w:r>
        <w:instrText xml:space="preserve"> PAGEREF _Toc470887058 \h </w:instrText>
      </w:r>
      <w:r>
        <w:fldChar w:fldCharType="separate"/>
      </w:r>
      <w:r>
        <w:t>23</w:t>
      </w:r>
      <w:r>
        <w:fldChar w:fldCharType="end"/>
      </w:r>
      <w:r>
        <w:fldChar w:fldCharType="end"/>
      </w:r>
    </w:p>
    <w:p>
      <w:pPr>
        <w:pStyle w:val="17"/>
        <w:tabs>
          <w:tab w:val="right" w:leader="dot" w:pos="8296"/>
        </w:tabs>
        <w:rPr>
          <w:caps w:val="0"/>
          <w:sz w:val="21"/>
          <w:szCs w:val="22"/>
        </w:rPr>
      </w:pPr>
      <w:r>
        <w:fldChar w:fldCharType="begin"/>
      </w:r>
      <w:r>
        <w:instrText xml:space="preserve"> HYPERLINK \l "_Toc470887059" </w:instrText>
      </w:r>
      <w:r>
        <w:fldChar w:fldCharType="separate"/>
      </w:r>
      <w:r>
        <w:rPr>
          <w:rStyle w:val="21"/>
          <w:rFonts w:hint="eastAsia" w:asciiTheme="minorEastAsia" w:hAnsiTheme="minorEastAsia"/>
        </w:rPr>
        <w:t>图</w:t>
      </w:r>
      <w:r>
        <w:rPr>
          <w:rStyle w:val="21"/>
          <w:rFonts w:asciiTheme="minorEastAsia" w:hAnsiTheme="minorEastAsia"/>
        </w:rPr>
        <w:t>2-14 2016</w:t>
      </w:r>
      <w:r>
        <w:rPr>
          <w:rStyle w:val="21"/>
          <w:rFonts w:hint="eastAsia" w:asciiTheme="minorEastAsia" w:hAnsiTheme="minorEastAsia"/>
        </w:rPr>
        <w:t>届专科出国学校分布</w:t>
      </w:r>
      <w:r>
        <w:tab/>
      </w:r>
      <w:r>
        <w:fldChar w:fldCharType="begin"/>
      </w:r>
      <w:r>
        <w:instrText xml:space="preserve"> PAGEREF _Toc470887059 \h </w:instrText>
      </w:r>
      <w:r>
        <w:fldChar w:fldCharType="separate"/>
      </w:r>
      <w:r>
        <w:t>24</w:t>
      </w:r>
      <w:r>
        <w:fldChar w:fldCharType="end"/>
      </w:r>
      <w:r>
        <w:fldChar w:fldCharType="end"/>
      </w:r>
    </w:p>
    <w:p>
      <w:r>
        <w:fldChar w:fldCharType="end"/>
      </w:r>
      <w:r>
        <w:fldChar w:fldCharType="begin"/>
      </w:r>
      <w:r>
        <w:instrText xml:space="preserve"> TOC \h \z \c "图3-" </w:instrText>
      </w:r>
      <w:r>
        <w:fldChar w:fldCharType="separate"/>
      </w:r>
    </w:p>
    <w:p>
      <w:pPr>
        <w:pStyle w:val="17"/>
        <w:tabs>
          <w:tab w:val="right" w:leader="dot" w:pos="8296"/>
        </w:tabs>
        <w:rPr>
          <w:caps w:val="0"/>
          <w:sz w:val="21"/>
          <w:szCs w:val="22"/>
        </w:rPr>
      </w:pPr>
      <w:r>
        <w:fldChar w:fldCharType="begin"/>
      </w:r>
      <w:r>
        <w:instrText xml:space="preserve"> HYPERLINK \l "_Toc470887019" </w:instrText>
      </w:r>
      <w:r>
        <w:fldChar w:fldCharType="separate"/>
      </w:r>
      <w:r>
        <w:rPr>
          <w:rStyle w:val="21"/>
          <w:rFonts w:hint="eastAsia" w:asciiTheme="minorEastAsia" w:hAnsiTheme="minorEastAsia"/>
        </w:rPr>
        <w:t>图</w:t>
      </w:r>
      <w:r>
        <w:rPr>
          <w:rStyle w:val="21"/>
          <w:rFonts w:asciiTheme="minorEastAsia" w:hAnsiTheme="minorEastAsia"/>
        </w:rPr>
        <w:t xml:space="preserve">3-1 </w:t>
      </w:r>
      <w:r>
        <w:rPr>
          <w:rStyle w:val="21"/>
          <w:rFonts w:hint="eastAsia" w:asciiTheme="minorEastAsia" w:hAnsiTheme="minorEastAsia"/>
        </w:rPr>
        <w:t>已落实就业单位毕业生求职途径</w:t>
      </w:r>
      <w:r>
        <w:tab/>
      </w:r>
      <w:r>
        <w:fldChar w:fldCharType="begin"/>
      </w:r>
      <w:r>
        <w:instrText xml:space="preserve"> PAGEREF _Toc470887019 \h </w:instrText>
      </w:r>
      <w:r>
        <w:fldChar w:fldCharType="separate"/>
      </w:r>
      <w:r>
        <w:t>25</w:t>
      </w:r>
      <w:r>
        <w:fldChar w:fldCharType="end"/>
      </w:r>
      <w:r>
        <w:fldChar w:fldCharType="end"/>
      </w:r>
    </w:p>
    <w:p>
      <w:pPr>
        <w:pStyle w:val="17"/>
        <w:tabs>
          <w:tab w:val="right" w:leader="dot" w:pos="8296"/>
        </w:tabs>
        <w:rPr>
          <w:caps w:val="0"/>
          <w:sz w:val="21"/>
          <w:szCs w:val="22"/>
        </w:rPr>
      </w:pPr>
      <w:r>
        <w:fldChar w:fldCharType="begin"/>
      </w:r>
      <w:r>
        <w:instrText xml:space="preserve"> HYPERLINK \l "_Toc470887020" </w:instrText>
      </w:r>
      <w:r>
        <w:fldChar w:fldCharType="separate"/>
      </w:r>
      <w:r>
        <w:rPr>
          <w:rStyle w:val="21"/>
          <w:rFonts w:hint="eastAsia" w:asciiTheme="minorEastAsia" w:hAnsiTheme="minorEastAsia"/>
        </w:rPr>
        <w:t>图</w:t>
      </w:r>
      <w:r>
        <w:rPr>
          <w:rStyle w:val="21"/>
          <w:rFonts w:asciiTheme="minorEastAsia" w:hAnsiTheme="minorEastAsia"/>
        </w:rPr>
        <w:t xml:space="preserve">3-2 </w:t>
      </w:r>
      <w:r>
        <w:rPr>
          <w:rStyle w:val="21"/>
          <w:rFonts w:hint="eastAsia" w:asciiTheme="minorEastAsia" w:hAnsiTheme="minorEastAsia"/>
        </w:rPr>
        <w:t>已落实就业单位毕业生求职花费</w:t>
      </w:r>
      <w:r>
        <w:tab/>
      </w:r>
      <w:r>
        <w:fldChar w:fldCharType="begin"/>
      </w:r>
      <w:r>
        <w:instrText xml:space="preserve"> PAGEREF _Toc470887020 \h </w:instrText>
      </w:r>
      <w:r>
        <w:fldChar w:fldCharType="separate"/>
      </w:r>
      <w:r>
        <w:t>26</w:t>
      </w:r>
      <w:r>
        <w:fldChar w:fldCharType="end"/>
      </w:r>
      <w:r>
        <w:fldChar w:fldCharType="end"/>
      </w:r>
    </w:p>
    <w:p>
      <w:pPr>
        <w:pStyle w:val="17"/>
        <w:tabs>
          <w:tab w:val="right" w:leader="dot" w:pos="8296"/>
        </w:tabs>
        <w:rPr>
          <w:caps w:val="0"/>
          <w:sz w:val="21"/>
          <w:szCs w:val="22"/>
        </w:rPr>
      </w:pPr>
      <w:r>
        <w:fldChar w:fldCharType="begin"/>
      </w:r>
      <w:r>
        <w:instrText xml:space="preserve"> HYPERLINK \l "_Toc470887021" </w:instrText>
      </w:r>
      <w:r>
        <w:fldChar w:fldCharType="separate"/>
      </w:r>
      <w:r>
        <w:rPr>
          <w:rStyle w:val="21"/>
          <w:rFonts w:hint="eastAsia" w:asciiTheme="minorEastAsia" w:hAnsiTheme="minorEastAsia"/>
        </w:rPr>
        <w:t>图</w:t>
      </w:r>
      <w:r>
        <w:rPr>
          <w:rStyle w:val="21"/>
          <w:rFonts w:asciiTheme="minorEastAsia" w:hAnsiTheme="minorEastAsia"/>
        </w:rPr>
        <w:t xml:space="preserve">3-3 </w:t>
      </w:r>
      <w:r>
        <w:rPr>
          <w:rStyle w:val="21"/>
          <w:rFonts w:hint="eastAsia" w:asciiTheme="minorEastAsia" w:hAnsiTheme="minorEastAsia"/>
        </w:rPr>
        <w:t>已落实就业单位毕业生求职成功主要因素</w:t>
      </w:r>
      <w:r>
        <w:tab/>
      </w:r>
      <w:r>
        <w:fldChar w:fldCharType="begin"/>
      </w:r>
      <w:r>
        <w:instrText xml:space="preserve"> PAGEREF _Toc470887021 \h </w:instrText>
      </w:r>
      <w:r>
        <w:fldChar w:fldCharType="separate"/>
      </w:r>
      <w:r>
        <w:t>26</w:t>
      </w:r>
      <w:r>
        <w:fldChar w:fldCharType="end"/>
      </w:r>
      <w:r>
        <w:fldChar w:fldCharType="end"/>
      </w:r>
    </w:p>
    <w:p>
      <w:pPr>
        <w:pStyle w:val="17"/>
        <w:tabs>
          <w:tab w:val="right" w:leader="dot" w:pos="8296"/>
        </w:tabs>
        <w:rPr>
          <w:caps w:val="0"/>
          <w:sz w:val="21"/>
          <w:szCs w:val="22"/>
        </w:rPr>
      </w:pPr>
      <w:r>
        <w:fldChar w:fldCharType="begin"/>
      </w:r>
      <w:r>
        <w:instrText xml:space="preserve"> HYPERLINK \l "_Toc470887022" </w:instrText>
      </w:r>
      <w:r>
        <w:fldChar w:fldCharType="separate"/>
      </w:r>
      <w:r>
        <w:rPr>
          <w:rStyle w:val="21"/>
          <w:rFonts w:hint="eastAsia" w:asciiTheme="minorEastAsia" w:hAnsiTheme="minorEastAsia"/>
        </w:rPr>
        <w:t>图</w:t>
      </w:r>
      <w:r>
        <w:rPr>
          <w:rStyle w:val="21"/>
          <w:rFonts w:asciiTheme="minorEastAsia" w:hAnsiTheme="minorEastAsia"/>
        </w:rPr>
        <w:t xml:space="preserve">3-4 </w:t>
      </w:r>
      <w:r>
        <w:rPr>
          <w:rStyle w:val="21"/>
          <w:rFonts w:hint="eastAsia" w:asciiTheme="minorEastAsia" w:hAnsiTheme="minorEastAsia"/>
        </w:rPr>
        <w:t>已落实就业单位毕业生求职保障</w:t>
      </w:r>
      <w:r>
        <w:tab/>
      </w:r>
      <w:r>
        <w:fldChar w:fldCharType="begin"/>
      </w:r>
      <w:r>
        <w:instrText xml:space="preserve"> PAGEREF _Toc470887022 \h </w:instrText>
      </w:r>
      <w:r>
        <w:fldChar w:fldCharType="separate"/>
      </w:r>
      <w:r>
        <w:t>27</w:t>
      </w:r>
      <w:r>
        <w:fldChar w:fldCharType="end"/>
      </w:r>
      <w:r>
        <w:fldChar w:fldCharType="end"/>
      </w:r>
    </w:p>
    <w:p>
      <w:pPr>
        <w:pStyle w:val="17"/>
        <w:tabs>
          <w:tab w:val="right" w:leader="dot" w:pos="8296"/>
        </w:tabs>
        <w:rPr>
          <w:caps w:val="0"/>
          <w:sz w:val="21"/>
          <w:szCs w:val="22"/>
        </w:rPr>
      </w:pPr>
      <w:r>
        <w:fldChar w:fldCharType="begin"/>
      </w:r>
      <w:r>
        <w:instrText xml:space="preserve"> HYPERLINK \l "_Toc470887023" </w:instrText>
      </w:r>
      <w:r>
        <w:fldChar w:fldCharType="separate"/>
      </w:r>
      <w:r>
        <w:rPr>
          <w:rStyle w:val="21"/>
          <w:rFonts w:hint="eastAsia" w:asciiTheme="minorEastAsia" w:hAnsiTheme="minorEastAsia"/>
        </w:rPr>
        <w:t>图</w:t>
      </w:r>
      <w:r>
        <w:rPr>
          <w:rStyle w:val="21"/>
          <w:rFonts w:asciiTheme="minorEastAsia" w:hAnsiTheme="minorEastAsia"/>
        </w:rPr>
        <w:t xml:space="preserve">3-5 </w:t>
      </w:r>
      <w:r>
        <w:rPr>
          <w:rStyle w:val="21"/>
          <w:rFonts w:hint="eastAsia" w:asciiTheme="minorEastAsia" w:hAnsiTheme="minorEastAsia"/>
        </w:rPr>
        <w:t>已落实就业单位毕业生就业状况满意度</w:t>
      </w:r>
      <w:r>
        <w:tab/>
      </w:r>
      <w:r>
        <w:fldChar w:fldCharType="begin"/>
      </w:r>
      <w:r>
        <w:instrText xml:space="preserve"> PAGEREF _Toc470887023 \h </w:instrText>
      </w:r>
      <w:r>
        <w:fldChar w:fldCharType="separate"/>
      </w:r>
      <w:r>
        <w:t>28</w:t>
      </w:r>
      <w:r>
        <w:fldChar w:fldCharType="end"/>
      </w:r>
      <w:r>
        <w:fldChar w:fldCharType="end"/>
      </w:r>
    </w:p>
    <w:p>
      <w:pPr>
        <w:pStyle w:val="17"/>
        <w:tabs>
          <w:tab w:val="right" w:leader="dot" w:pos="8296"/>
        </w:tabs>
        <w:rPr>
          <w:caps w:val="0"/>
          <w:sz w:val="21"/>
          <w:szCs w:val="22"/>
        </w:rPr>
      </w:pPr>
      <w:r>
        <w:fldChar w:fldCharType="begin"/>
      </w:r>
      <w:r>
        <w:instrText xml:space="preserve"> HYPERLINK \l "_Toc470887024" </w:instrText>
      </w:r>
      <w:r>
        <w:fldChar w:fldCharType="separate"/>
      </w:r>
      <w:r>
        <w:rPr>
          <w:rStyle w:val="21"/>
          <w:rFonts w:hint="eastAsia" w:asciiTheme="minorEastAsia" w:hAnsiTheme="minorEastAsia"/>
        </w:rPr>
        <w:t>图</w:t>
      </w:r>
      <w:r>
        <w:rPr>
          <w:rStyle w:val="21"/>
          <w:rFonts w:asciiTheme="minorEastAsia" w:hAnsiTheme="minorEastAsia"/>
        </w:rPr>
        <w:t xml:space="preserve">3-6 </w:t>
      </w:r>
      <w:r>
        <w:rPr>
          <w:rStyle w:val="21"/>
          <w:rFonts w:hint="eastAsia" w:asciiTheme="minorEastAsia" w:hAnsiTheme="minorEastAsia"/>
        </w:rPr>
        <w:t>已落实就业单位毕业生薪资水平</w:t>
      </w:r>
      <w:r>
        <w:tab/>
      </w:r>
      <w:r>
        <w:fldChar w:fldCharType="begin"/>
      </w:r>
      <w:r>
        <w:instrText xml:space="preserve"> PAGEREF _Toc470887024 \h </w:instrText>
      </w:r>
      <w:r>
        <w:fldChar w:fldCharType="separate"/>
      </w:r>
      <w:r>
        <w:t>29</w:t>
      </w:r>
      <w:r>
        <w:fldChar w:fldCharType="end"/>
      </w:r>
      <w:r>
        <w:fldChar w:fldCharType="end"/>
      </w:r>
    </w:p>
    <w:p>
      <w:pPr>
        <w:pStyle w:val="17"/>
        <w:tabs>
          <w:tab w:val="right" w:leader="dot" w:pos="8296"/>
        </w:tabs>
        <w:rPr>
          <w:caps w:val="0"/>
          <w:sz w:val="21"/>
          <w:szCs w:val="22"/>
        </w:rPr>
      </w:pPr>
      <w:r>
        <w:fldChar w:fldCharType="begin"/>
      </w:r>
      <w:r>
        <w:instrText xml:space="preserve"> HYPERLINK \l "_Toc470887025" </w:instrText>
      </w:r>
      <w:r>
        <w:fldChar w:fldCharType="separate"/>
      </w:r>
      <w:r>
        <w:rPr>
          <w:rStyle w:val="21"/>
          <w:rFonts w:hint="eastAsia" w:asciiTheme="minorEastAsia" w:hAnsiTheme="minorEastAsia"/>
        </w:rPr>
        <w:t>图</w:t>
      </w:r>
      <w:r>
        <w:rPr>
          <w:rStyle w:val="21"/>
          <w:rFonts w:asciiTheme="minorEastAsia" w:hAnsiTheme="minorEastAsia"/>
        </w:rPr>
        <w:t xml:space="preserve">3-7 </w:t>
      </w:r>
      <w:r>
        <w:rPr>
          <w:rStyle w:val="21"/>
          <w:rFonts w:hint="eastAsia" w:asciiTheme="minorEastAsia" w:hAnsiTheme="minorEastAsia"/>
        </w:rPr>
        <w:t>已落实就业单位毕业生薪资满意度</w:t>
      </w:r>
      <w:r>
        <w:tab/>
      </w:r>
      <w:r>
        <w:fldChar w:fldCharType="begin"/>
      </w:r>
      <w:r>
        <w:instrText xml:space="preserve"> PAGEREF _Toc470887025 \h </w:instrText>
      </w:r>
      <w:r>
        <w:fldChar w:fldCharType="separate"/>
      </w:r>
      <w:r>
        <w:t>31</w:t>
      </w:r>
      <w:r>
        <w:fldChar w:fldCharType="end"/>
      </w:r>
      <w:r>
        <w:fldChar w:fldCharType="end"/>
      </w:r>
    </w:p>
    <w:p>
      <w:pPr>
        <w:pStyle w:val="17"/>
        <w:tabs>
          <w:tab w:val="right" w:leader="dot" w:pos="8296"/>
        </w:tabs>
        <w:rPr>
          <w:caps w:val="0"/>
          <w:sz w:val="21"/>
          <w:szCs w:val="22"/>
        </w:rPr>
      </w:pPr>
      <w:r>
        <w:fldChar w:fldCharType="begin"/>
      </w:r>
      <w:r>
        <w:instrText xml:space="preserve"> HYPERLINK \l "_Toc470887026" </w:instrText>
      </w:r>
      <w:r>
        <w:fldChar w:fldCharType="separate"/>
      </w:r>
      <w:r>
        <w:rPr>
          <w:rStyle w:val="21"/>
          <w:rFonts w:hint="eastAsia" w:asciiTheme="minorEastAsia" w:hAnsiTheme="minorEastAsia"/>
        </w:rPr>
        <w:t>图</w:t>
      </w:r>
      <w:r>
        <w:rPr>
          <w:rStyle w:val="21"/>
          <w:rFonts w:asciiTheme="minorEastAsia" w:hAnsiTheme="minorEastAsia"/>
        </w:rPr>
        <w:t xml:space="preserve">3-8 </w:t>
      </w:r>
      <w:r>
        <w:rPr>
          <w:rStyle w:val="21"/>
          <w:rFonts w:hint="eastAsia" w:asciiTheme="minorEastAsia" w:hAnsiTheme="minorEastAsia"/>
        </w:rPr>
        <w:t>已落实就业单位毕业生福利保障</w:t>
      </w:r>
      <w:r>
        <w:tab/>
      </w:r>
      <w:r>
        <w:fldChar w:fldCharType="begin"/>
      </w:r>
      <w:r>
        <w:instrText xml:space="preserve"> PAGEREF _Toc470887026 \h </w:instrText>
      </w:r>
      <w:r>
        <w:fldChar w:fldCharType="separate"/>
      </w:r>
      <w:r>
        <w:t>32</w:t>
      </w:r>
      <w:r>
        <w:fldChar w:fldCharType="end"/>
      </w:r>
      <w:r>
        <w:fldChar w:fldCharType="end"/>
      </w:r>
    </w:p>
    <w:p>
      <w:pPr>
        <w:pStyle w:val="17"/>
        <w:tabs>
          <w:tab w:val="right" w:leader="dot" w:pos="8296"/>
        </w:tabs>
        <w:rPr>
          <w:caps w:val="0"/>
          <w:sz w:val="21"/>
          <w:szCs w:val="22"/>
        </w:rPr>
      </w:pPr>
      <w:r>
        <w:fldChar w:fldCharType="begin"/>
      </w:r>
      <w:r>
        <w:instrText xml:space="preserve"> HYPERLINK \l "_Toc470887027" </w:instrText>
      </w:r>
      <w:r>
        <w:fldChar w:fldCharType="separate"/>
      </w:r>
      <w:r>
        <w:rPr>
          <w:rStyle w:val="21"/>
          <w:rFonts w:hint="eastAsia" w:asciiTheme="minorEastAsia" w:hAnsiTheme="minorEastAsia"/>
        </w:rPr>
        <w:t>图</w:t>
      </w:r>
      <w:r>
        <w:rPr>
          <w:rStyle w:val="21"/>
          <w:rFonts w:asciiTheme="minorEastAsia" w:hAnsiTheme="minorEastAsia"/>
        </w:rPr>
        <w:t xml:space="preserve">3-9 </w:t>
      </w:r>
      <w:r>
        <w:rPr>
          <w:rStyle w:val="21"/>
          <w:rFonts w:hint="eastAsia" w:asciiTheme="minorEastAsia" w:hAnsiTheme="minorEastAsia"/>
        </w:rPr>
        <w:t>已落实就业单位毕业生福利保障满意度</w:t>
      </w:r>
      <w:r>
        <w:tab/>
      </w:r>
      <w:r>
        <w:fldChar w:fldCharType="begin"/>
      </w:r>
      <w:r>
        <w:instrText xml:space="preserve"> PAGEREF _Toc470887027 \h </w:instrText>
      </w:r>
      <w:r>
        <w:fldChar w:fldCharType="separate"/>
      </w:r>
      <w:r>
        <w:t>32</w:t>
      </w:r>
      <w:r>
        <w:fldChar w:fldCharType="end"/>
      </w:r>
      <w:r>
        <w:fldChar w:fldCharType="end"/>
      </w:r>
    </w:p>
    <w:p>
      <w:pPr>
        <w:pStyle w:val="17"/>
        <w:tabs>
          <w:tab w:val="right" w:leader="dot" w:pos="8296"/>
        </w:tabs>
        <w:rPr>
          <w:caps w:val="0"/>
          <w:sz w:val="21"/>
          <w:szCs w:val="22"/>
        </w:rPr>
      </w:pPr>
      <w:r>
        <w:fldChar w:fldCharType="begin"/>
      </w:r>
      <w:r>
        <w:instrText xml:space="preserve"> HYPERLINK \l "_Toc470887028" </w:instrText>
      </w:r>
      <w:r>
        <w:fldChar w:fldCharType="separate"/>
      </w:r>
      <w:r>
        <w:rPr>
          <w:rStyle w:val="21"/>
          <w:rFonts w:hint="eastAsia" w:asciiTheme="minorEastAsia" w:hAnsiTheme="minorEastAsia"/>
        </w:rPr>
        <w:t>图</w:t>
      </w:r>
      <w:r>
        <w:rPr>
          <w:rStyle w:val="21"/>
          <w:rFonts w:asciiTheme="minorEastAsia" w:hAnsiTheme="minorEastAsia"/>
        </w:rPr>
        <w:t xml:space="preserve">3-10 </w:t>
      </w:r>
      <w:r>
        <w:rPr>
          <w:rStyle w:val="21"/>
          <w:rFonts w:hint="eastAsia" w:asciiTheme="minorEastAsia" w:hAnsiTheme="minorEastAsia"/>
        </w:rPr>
        <w:t>已落实就业单位毕业生工作与专业对口度</w:t>
      </w:r>
      <w:r>
        <w:tab/>
      </w:r>
      <w:r>
        <w:fldChar w:fldCharType="begin"/>
      </w:r>
      <w:r>
        <w:instrText xml:space="preserve"> PAGEREF _Toc470887028 \h </w:instrText>
      </w:r>
      <w:r>
        <w:fldChar w:fldCharType="separate"/>
      </w:r>
      <w:r>
        <w:t>33</w:t>
      </w:r>
      <w:r>
        <w:fldChar w:fldCharType="end"/>
      </w:r>
      <w:r>
        <w:fldChar w:fldCharType="end"/>
      </w:r>
    </w:p>
    <w:p>
      <w:pPr>
        <w:pStyle w:val="17"/>
        <w:tabs>
          <w:tab w:val="right" w:leader="dot" w:pos="8296"/>
        </w:tabs>
        <w:rPr>
          <w:caps w:val="0"/>
          <w:sz w:val="21"/>
          <w:szCs w:val="22"/>
        </w:rPr>
      </w:pPr>
      <w:r>
        <w:fldChar w:fldCharType="begin"/>
      </w:r>
      <w:r>
        <w:instrText xml:space="preserve"> HYPERLINK \l "_Toc470887029" </w:instrText>
      </w:r>
      <w:r>
        <w:fldChar w:fldCharType="separate"/>
      </w:r>
      <w:r>
        <w:rPr>
          <w:rStyle w:val="21"/>
          <w:rFonts w:hint="eastAsia" w:asciiTheme="minorEastAsia" w:hAnsiTheme="minorEastAsia"/>
        </w:rPr>
        <w:t>图</w:t>
      </w:r>
      <w:r>
        <w:rPr>
          <w:rStyle w:val="21"/>
          <w:rFonts w:asciiTheme="minorEastAsia" w:hAnsiTheme="minorEastAsia"/>
        </w:rPr>
        <w:t xml:space="preserve">3-11 </w:t>
      </w:r>
      <w:r>
        <w:rPr>
          <w:rStyle w:val="21"/>
          <w:rFonts w:hint="eastAsia" w:asciiTheme="minorEastAsia" w:hAnsiTheme="minorEastAsia"/>
        </w:rPr>
        <w:t>已落实就业单位毕业生职业与理想吻合度</w:t>
      </w:r>
      <w:r>
        <w:tab/>
      </w:r>
      <w:r>
        <w:fldChar w:fldCharType="begin"/>
      </w:r>
      <w:r>
        <w:instrText xml:space="preserve"> PAGEREF _Toc470887029 \h </w:instrText>
      </w:r>
      <w:r>
        <w:fldChar w:fldCharType="separate"/>
      </w:r>
      <w:r>
        <w:t>34</w:t>
      </w:r>
      <w:r>
        <w:fldChar w:fldCharType="end"/>
      </w:r>
      <w:r>
        <w:fldChar w:fldCharType="end"/>
      </w:r>
    </w:p>
    <w:p>
      <w:pPr>
        <w:pStyle w:val="17"/>
        <w:tabs>
          <w:tab w:val="right" w:leader="dot" w:pos="8296"/>
        </w:tabs>
        <w:rPr>
          <w:caps w:val="0"/>
          <w:sz w:val="21"/>
          <w:szCs w:val="22"/>
        </w:rPr>
      </w:pPr>
      <w:r>
        <w:fldChar w:fldCharType="begin"/>
      </w:r>
      <w:r>
        <w:instrText xml:space="preserve"> HYPERLINK \l "_Toc470887030" </w:instrText>
      </w:r>
      <w:r>
        <w:fldChar w:fldCharType="separate"/>
      </w:r>
      <w:r>
        <w:rPr>
          <w:rStyle w:val="21"/>
          <w:rFonts w:hint="eastAsia" w:asciiTheme="minorEastAsia" w:hAnsiTheme="minorEastAsia"/>
        </w:rPr>
        <w:t>图</w:t>
      </w:r>
      <w:r>
        <w:rPr>
          <w:rStyle w:val="21"/>
          <w:rFonts w:asciiTheme="minorEastAsia" w:hAnsiTheme="minorEastAsia"/>
        </w:rPr>
        <w:t xml:space="preserve">3-12 </w:t>
      </w:r>
      <w:r>
        <w:rPr>
          <w:rStyle w:val="21"/>
          <w:rFonts w:hint="eastAsia" w:asciiTheme="minorEastAsia" w:hAnsiTheme="minorEastAsia"/>
        </w:rPr>
        <w:t>已落实就业单位毕业生调换工作次数</w:t>
      </w:r>
      <w:r>
        <w:tab/>
      </w:r>
      <w:r>
        <w:fldChar w:fldCharType="begin"/>
      </w:r>
      <w:r>
        <w:instrText xml:space="preserve"> PAGEREF _Toc470887030 \h </w:instrText>
      </w:r>
      <w:r>
        <w:fldChar w:fldCharType="separate"/>
      </w:r>
      <w:r>
        <w:t>34</w:t>
      </w:r>
      <w:r>
        <w:fldChar w:fldCharType="end"/>
      </w:r>
      <w:r>
        <w:fldChar w:fldCharType="end"/>
      </w:r>
    </w:p>
    <w:p>
      <w:pPr>
        <w:pStyle w:val="17"/>
        <w:tabs>
          <w:tab w:val="right" w:leader="dot" w:pos="8296"/>
        </w:tabs>
        <w:rPr>
          <w:caps w:val="0"/>
          <w:sz w:val="21"/>
          <w:szCs w:val="22"/>
        </w:rPr>
      </w:pPr>
      <w:r>
        <w:fldChar w:fldCharType="begin"/>
      </w:r>
      <w:r>
        <w:instrText xml:space="preserve"> HYPERLINK \l "_Toc470887031" </w:instrText>
      </w:r>
      <w:r>
        <w:fldChar w:fldCharType="separate"/>
      </w:r>
      <w:r>
        <w:rPr>
          <w:rStyle w:val="21"/>
          <w:rFonts w:hint="eastAsia" w:asciiTheme="minorEastAsia" w:hAnsiTheme="minorEastAsia"/>
        </w:rPr>
        <w:t>图</w:t>
      </w:r>
      <w:r>
        <w:rPr>
          <w:rStyle w:val="21"/>
          <w:rFonts w:asciiTheme="minorEastAsia" w:hAnsiTheme="minorEastAsia"/>
        </w:rPr>
        <w:t xml:space="preserve">3-13 </w:t>
      </w:r>
      <w:r>
        <w:rPr>
          <w:rStyle w:val="21"/>
          <w:rFonts w:hint="eastAsia" w:asciiTheme="minorEastAsia" w:hAnsiTheme="minorEastAsia"/>
        </w:rPr>
        <w:t>已落实就业单位毕业生调换工作原因</w:t>
      </w:r>
      <w:r>
        <w:tab/>
      </w:r>
      <w:r>
        <w:fldChar w:fldCharType="begin"/>
      </w:r>
      <w:r>
        <w:instrText xml:space="preserve"> PAGEREF _Toc470887031 \h </w:instrText>
      </w:r>
      <w:r>
        <w:fldChar w:fldCharType="separate"/>
      </w:r>
      <w:r>
        <w:t>35</w:t>
      </w:r>
      <w:r>
        <w:fldChar w:fldCharType="end"/>
      </w:r>
      <w:r>
        <w:fldChar w:fldCharType="end"/>
      </w:r>
    </w:p>
    <w:p>
      <w:pPr>
        <w:pStyle w:val="17"/>
        <w:tabs>
          <w:tab w:val="right" w:leader="dot" w:pos="8296"/>
        </w:tabs>
        <w:rPr>
          <w:caps w:val="0"/>
          <w:sz w:val="21"/>
          <w:szCs w:val="22"/>
        </w:rPr>
      </w:pPr>
      <w:r>
        <w:fldChar w:fldCharType="begin"/>
      </w:r>
      <w:r>
        <w:instrText xml:space="preserve"> HYPERLINK \l "_Toc470887032" </w:instrText>
      </w:r>
      <w:r>
        <w:fldChar w:fldCharType="separate"/>
      </w:r>
      <w:r>
        <w:rPr>
          <w:rStyle w:val="21"/>
          <w:rFonts w:hint="eastAsia" w:asciiTheme="minorEastAsia" w:hAnsiTheme="minorEastAsia"/>
        </w:rPr>
        <w:t>图</w:t>
      </w:r>
      <w:r>
        <w:rPr>
          <w:rStyle w:val="21"/>
          <w:rFonts w:asciiTheme="minorEastAsia" w:hAnsiTheme="minorEastAsia"/>
        </w:rPr>
        <w:t xml:space="preserve">3-14 </w:t>
      </w:r>
      <w:r>
        <w:rPr>
          <w:rStyle w:val="21"/>
          <w:rFonts w:hint="eastAsia" w:asciiTheme="minorEastAsia" w:hAnsiTheme="minorEastAsia"/>
        </w:rPr>
        <w:t>均值代表区间指示图</w:t>
      </w:r>
      <w:r>
        <w:tab/>
      </w:r>
      <w:r>
        <w:fldChar w:fldCharType="begin"/>
      </w:r>
      <w:r>
        <w:instrText xml:space="preserve"> PAGEREF _Toc470887032 \h </w:instrText>
      </w:r>
      <w:r>
        <w:fldChar w:fldCharType="separate"/>
      </w:r>
      <w:r>
        <w:t>37</w:t>
      </w:r>
      <w:r>
        <w:fldChar w:fldCharType="end"/>
      </w:r>
      <w:r>
        <w:fldChar w:fldCharType="end"/>
      </w:r>
    </w:p>
    <w:p>
      <w:pPr>
        <w:pStyle w:val="17"/>
        <w:tabs>
          <w:tab w:val="right" w:leader="dot" w:pos="8296"/>
        </w:tabs>
        <w:rPr>
          <w:caps w:val="0"/>
          <w:sz w:val="21"/>
          <w:szCs w:val="22"/>
        </w:rPr>
      </w:pPr>
      <w:r>
        <w:fldChar w:fldCharType="begin"/>
      </w:r>
      <w:r>
        <w:instrText xml:space="preserve"> HYPERLINK \l "_Toc470887033" </w:instrText>
      </w:r>
      <w:r>
        <w:fldChar w:fldCharType="separate"/>
      </w:r>
      <w:r>
        <w:rPr>
          <w:rStyle w:val="21"/>
          <w:rFonts w:hint="eastAsia" w:asciiTheme="minorEastAsia" w:hAnsiTheme="minorEastAsia"/>
        </w:rPr>
        <w:t>图</w:t>
      </w:r>
      <w:r>
        <w:rPr>
          <w:rStyle w:val="21"/>
          <w:rFonts w:asciiTheme="minorEastAsia" w:hAnsiTheme="minorEastAsia"/>
        </w:rPr>
        <w:t xml:space="preserve">3-15 </w:t>
      </w:r>
      <w:r>
        <w:rPr>
          <w:rStyle w:val="21"/>
          <w:rFonts w:hint="eastAsia" w:asciiTheme="minorEastAsia" w:hAnsiTheme="minorEastAsia"/>
        </w:rPr>
        <w:t>各项指标满意度分布</w:t>
      </w:r>
      <w:r>
        <w:tab/>
      </w:r>
      <w:r>
        <w:fldChar w:fldCharType="begin"/>
      </w:r>
      <w:r>
        <w:instrText xml:space="preserve"> PAGEREF _Toc470887033 \h </w:instrText>
      </w:r>
      <w:r>
        <w:fldChar w:fldCharType="separate"/>
      </w:r>
      <w:r>
        <w:t>37</w:t>
      </w:r>
      <w:r>
        <w:fldChar w:fldCharType="end"/>
      </w:r>
      <w:r>
        <w:fldChar w:fldCharType="end"/>
      </w:r>
    </w:p>
    <w:p>
      <w:pPr>
        <w:pStyle w:val="17"/>
        <w:tabs>
          <w:tab w:val="right" w:leader="dot" w:pos="8296"/>
        </w:tabs>
        <w:rPr>
          <w:caps w:val="0"/>
          <w:sz w:val="21"/>
          <w:szCs w:val="22"/>
        </w:rPr>
      </w:pPr>
      <w:r>
        <w:fldChar w:fldCharType="begin"/>
      </w:r>
      <w:r>
        <w:instrText xml:space="preserve"> HYPERLINK \l "_Toc470887034" </w:instrText>
      </w:r>
      <w:r>
        <w:fldChar w:fldCharType="separate"/>
      </w:r>
      <w:r>
        <w:rPr>
          <w:rStyle w:val="21"/>
          <w:rFonts w:hint="eastAsia" w:asciiTheme="minorEastAsia" w:hAnsiTheme="minorEastAsia"/>
        </w:rPr>
        <w:t>图</w:t>
      </w:r>
      <w:r>
        <w:rPr>
          <w:rStyle w:val="21"/>
          <w:rFonts w:asciiTheme="minorEastAsia" w:hAnsiTheme="minorEastAsia"/>
        </w:rPr>
        <w:t xml:space="preserve">3-16 </w:t>
      </w:r>
      <w:r>
        <w:rPr>
          <w:rStyle w:val="21"/>
          <w:rFonts w:hint="eastAsia" w:asciiTheme="minorEastAsia" w:hAnsiTheme="minorEastAsia"/>
        </w:rPr>
        <w:t>各指标重要性分布</w:t>
      </w:r>
      <w:r>
        <w:tab/>
      </w:r>
      <w:r>
        <w:fldChar w:fldCharType="begin"/>
      </w:r>
      <w:r>
        <w:instrText xml:space="preserve"> PAGEREF _Toc470887034 \h </w:instrText>
      </w:r>
      <w:r>
        <w:fldChar w:fldCharType="separate"/>
      </w:r>
      <w:r>
        <w:t>38</w:t>
      </w:r>
      <w:r>
        <w:fldChar w:fldCharType="end"/>
      </w:r>
      <w:r>
        <w:fldChar w:fldCharType="end"/>
      </w:r>
    </w:p>
    <w:p>
      <w:pPr>
        <w:pStyle w:val="17"/>
        <w:tabs>
          <w:tab w:val="right" w:leader="dot" w:pos="8296"/>
        </w:tabs>
        <w:rPr>
          <w:caps w:val="0"/>
          <w:sz w:val="21"/>
          <w:szCs w:val="22"/>
        </w:rPr>
      </w:pPr>
      <w:r>
        <w:fldChar w:fldCharType="begin"/>
      </w:r>
      <w:r>
        <w:instrText xml:space="preserve"> HYPERLINK \l "_Toc470887035" </w:instrText>
      </w:r>
      <w:r>
        <w:fldChar w:fldCharType="separate"/>
      </w:r>
      <w:r>
        <w:rPr>
          <w:rStyle w:val="21"/>
          <w:rFonts w:hint="eastAsia" w:asciiTheme="minorEastAsia" w:hAnsiTheme="minorEastAsia"/>
        </w:rPr>
        <w:t>图</w:t>
      </w:r>
      <w:r>
        <w:rPr>
          <w:rStyle w:val="21"/>
          <w:rFonts w:asciiTheme="minorEastAsia" w:hAnsiTheme="minorEastAsia"/>
        </w:rPr>
        <w:t xml:space="preserve">3-17 </w:t>
      </w:r>
      <w:r>
        <w:rPr>
          <w:rStyle w:val="21"/>
          <w:rFonts w:hint="eastAsia" w:asciiTheme="minorEastAsia" w:hAnsiTheme="minorEastAsia"/>
        </w:rPr>
        <w:t>整体四象限图分布</w:t>
      </w:r>
      <w:r>
        <w:tab/>
      </w:r>
      <w:r>
        <w:fldChar w:fldCharType="begin"/>
      </w:r>
      <w:r>
        <w:instrText xml:space="preserve"> PAGEREF _Toc470887035 \h </w:instrText>
      </w:r>
      <w:r>
        <w:fldChar w:fldCharType="separate"/>
      </w:r>
      <w:r>
        <w:t>39</w:t>
      </w:r>
      <w:r>
        <w:fldChar w:fldCharType="end"/>
      </w:r>
      <w:r>
        <w:fldChar w:fldCharType="end"/>
      </w:r>
    </w:p>
    <w:p>
      <w:pPr>
        <w:pStyle w:val="17"/>
        <w:tabs>
          <w:tab w:val="right" w:leader="dot" w:pos="8296"/>
        </w:tabs>
        <w:rPr>
          <w:caps w:val="0"/>
          <w:sz w:val="21"/>
          <w:szCs w:val="22"/>
        </w:rPr>
      </w:pPr>
      <w:r>
        <w:fldChar w:fldCharType="begin"/>
      </w:r>
      <w:r>
        <w:instrText xml:space="preserve"> HYPERLINK \l "_Toc470887036" </w:instrText>
      </w:r>
      <w:r>
        <w:fldChar w:fldCharType="separate"/>
      </w:r>
      <w:r>
        <w:rPr>
          <w:rStyle w:val="21"/>
          <w:rFonts w:hint="eastAsia" w:asciiTheme="minorEastAsia" w:hAnsiTheme="minorEastAsia"/>
        </w:rPr>
        <w:t>图</w:t>
      </w:r>
      <w:r>
        <w:rPr>
          <w:rStyle w:val="21"/>
          <w:rFonts w:asciiTheme="minorEastAsia" w:hAnsiTheme="minorEastAsia"/>
        </w:rPr>
        <w:t xml:space="preserve">3-18 </w:t>
      </w:r>
      <w:r>
        <w:rPr>
          <w:rStyle w:val="21"/>
          <w:rFonts w:hint="eastAsia" w:asciiTheme="minorEastAsia" w:hAnsiTheme="minorEastAsia"/>
        </w:rPr>
        <w:t>自主创业原因</w:t>
      </w:r>
      <w:r>
        <w:tab/>
      </w:r>
      <w:r>
        <w:fldChar w:fldCharType="begin"/>
      </w:r>
      <w:r>
        <w:instrText xml:space="preserve"> PAGEREF _Toc470887036 \h </w:instrText>
      </w:r>
      <w:r>
        <w:fldChar w:fldCharType="separate"/>
      </w:r>
      <w:r>
        <w:t>40</w:t>
      </w:r>
      <w:r>
        <w:fldChar w:fldCharType="end"/>
      </w:r>
      <w:r>
        <w:fldChar w:fldCharType="end"/>
      </w:r>
    </w:p>
    <w:p>
      <w:pPr>
        <w:pStyle w:val="17"/>
        <w:tabs>
          <w:tab w:val="right" w:leader="dot" w:pos="8296"/>
        </w:tabs>
        <w:rPr>
          <w:caps w:val="0"/>
          <w:sz w:val="21"/>
          <w:szCs w:val="22"/>
        </w:rPr>
      </w:pPr>
      <w:r>
        <w:fldChar w:fldCharType="begin"/>
      </w:r>
      <w:r>
        <w:instrText xml:space="preserve"> HYPERLINK \l "_Toc470887037" </w:instrText>
      </w:r>
      <w:r>
        <w:fldChar w:fldCharType="separate"/>
      </w:r>
      <w:r>
        <w:rPr>
          <w:rStyle w:val="21"/>
          <w:rFonts w:hint="eastAsia" w:asciiTheme="minorEastAsia" w:hAnsiTheme="minorEastAsia"/>
        </w:rPr>
        <w:t>图</w:t>
      </w:r>
      <w:r>
        <w:rPr>
          <w:rStyle w:val="21"/>
          <w:rFonts w:asciiTheme="minorEastAsia" w:hAnsiTheme="minorEastAsia"/>
        </w:rPr>
        <w:t xml:space="preserve">3-19 </w:t>
      </w:r>
      <w:r>
        <w:rPr>
          <w:rStyle w:val="21"/>
          <w:rFonts w:hint="eastAsia" w:asciiTheme="minorEastAsia" w:hAnsiTheme="minorEastAsia"/>
        </w:rPr>
        <w:t>自主创业行业</w:t>
      </w:r>
      <w:r>
        <w:tab/>
      </w:r>
      <w:r>
        <w:fldChar w:fldCharType="begin"/>
      </w:r>
      <w:r>
        <w:instrText xml:space="preserve"> PAGEREF _Toc470887037 \h </w:instrText>
      </w:r>
      <w:r>
        <w:fldChar w:fldCharType="separate"/>
      </w:r>
      <w:r>
        <w:t>41</w:t>
      </w:r>
      <w:r>
        <w:fldChar w:fldCharType="end"/>
      </w:r>
      <w:r>
        <w:fldChar w:fldCharType="end"/>
      </w:r>
    </w:p>
    <w:p>
      <w:pPr>
        <w:pStyle w:val="17"/>
        <w:tabs>
          <w:tab w:val="right" w:leader="dot" w:pos="8296"/>
        </w:tabs>
        <w:rPr>
          <w:caps w:val="0"/>
          <w:sz w:val="21"/>
          <w:szCs w:val="22"/>
        </w:rPr>
      </w:pPr>
      <w:r>
        <w:fldChar w:fldCharType="begin"/>
      </w:r>
      <w:r>
        <w:instrText xml:space="preserve"> HYPERLINK \l "_Toc470887038" </w:instrText>
      </w:r>
      <w:r>
        <w:fldChar w:fldCharType="separate"/>
      </w:r>
      <w:r>
        <w:rPr>
          <w:rStyle w:val="21"/>
          <w:rFonts w:hint="eastAsia" w:asciiTheme="minorEastAsia" w:hAnsiTheme="minorEastAsia"/>
        </w:rPr>
        <w:t>图</w:t>
      </w:r>
      <w:r>
        <w:rPr>
          <w:rStyle w:val="21"/>
          <w:rFonts w:asciiTheme="minorEastAsia" w:hAnsiTheme="minorEastAsia"/>
        </w:rPr>
        <w:t xml:space="preserve">3-20 </w:t>
      </w:r>
      <w:r>
        <w:rPr>
          <w:rStyle w:val="21"/>
          <w:rFonts w:hint="eastAsia" w:asciiTheme="minorEastAsia" w:hAnsiTheme="minorEastAsia"/>
        </w:rPr>
        <w:t>自主创业资金来源</w:t>
      </w:r>
      <w:r>
        <w:tab/>
      </w:r>
      <w:r>
        <w:fldChar w:fldCharType="begin"/>
      </w:r>
      <w:r>
        <w:instrText xml:space="preserve"> PAGEREF _Toc470887038 \h </w:instrText>
      </w:r>
      <w:r>
        <w:fldChar w:fldCharType="separate"/>
      </w:r>
      <w:r>
        <w:t>41</w:t>
      </w:r>
      <w:r>
        <w:fldChar w:fldCharType="end"/>
      </w:r>
      <w:r>
        <w:fldChar w:fldCharType="end"/>
      </w:r>
    </w:p>
    <w:p>
      <w:pPr>
        <w:pStyle w:val="17"/>
        <w:tabs>
          <w:tab w:val="right" w:leader="dot" w:pos="8296"/>
        </w:tabs>
        <w:rPr>
          <w:caps w:val="0"/>
          <w:sz w:val="21"/>
          <w:szCs w:val="22"/>
        </w:rPr>
      </w:pPr>
      <w:r>
        <w:fldChar w:fldCharType="begin"/>
      </w:r>
      <w:r>
        <w:instrText xml:space="preserve"> HYPERLINK \l "_Toc470887039" </w:instrText>
      </w:r>
      <w:r>
        <w:fldChar w:fldCharType="separate"/>
      </w:r>
      <w:r>
        <w:rPr>
          <w:rStyle w:val="21"/>
          <w:rFonts w:hint="eastAsia" w:asciiTheme="minorEastAsia" w:hAnsiTheme="minorEastAsia"/>
        </w:rPr>
        <w:t>图</w:t>
      </w:r>
      <w:r>
        <w:rPr>
          <w:rStyle w:val="21"/>
          <w:rFonts w:asciiTheme="minorEastAsia" w:hAnsiTheme="minorEastAsia"/>
        </w:rPr>
        <w:t xml:space="preserve">3-21 </w:t>
      </w:r>
      <w:r>
        <w:rPr>
          <w:rStyle w:val="21"/>
          <w:rFonts w:hint="eastAsia" w:asciiTheme="minorEastAsia" w:hAnsiTheme="minorEastAsia"/>
        </w:rPr>
        <w:t>自主创业遇到的困难</w:t>
      </w:r>
      <w:r>
        <w:tab/>
      </w:r>
      <w:r>
        <w:fldChar w:fldCharType="begin"/>
      </w:r>
      <w:r>
        <w:instrText xml:space="preserve"> PAGEREF _Toc470887039 \h </w:instrText>
      </w:r>
      <w:r>
        <w:fldChar w:fldCharType="separate"/>
      </w:r>
      <w:r>
        <w:t>42</w:t>
      </w:r>
      <w:r>
        <w:fldChar w:fldCharType="end"/>
      </w:r>
      <w:r>
        <w:fldChar w:fldCharType="end"/>
      </w:r>
    </w:p>
    <w:p>
      <w:pPr>
        <w:pStyle w:val="17"/>
        <w:tabs>
          <w:tab w:val="right" w:leader="dot" w:pos="8296"/>
        </w:tabs>
        <w:rPr>
          <w:caps w:val="0"/>
          <w:sz w:val="21"/>
          <w:szCs w:val="22"/>
        </w:rPr>
      </w:pPr>
      <w:r>
        <w:fldChar w:fldCharType="begin"/>
      </w:r>
      <w:r>
        <w:instrText xml:space="preserve"> HYPERLINK \l "_Toc470887040" </w:instrText>
      </w:r>
      <w:r>
        <w:fldChar w:fldCharType="separate"/>
      </w:r>
      <w:r>
        <w:rPr>
          <w:rStyle w:val="21"/>
          <w:rFonts w:hint="eastAsia" w:asciiTheme="minorEastAsia" w:hAnsiTheme="minorEastAsia"/>
        </w:rPr>
        <w:t>图</w:t>
      </w:r>
      <w:r>
        <w:rPr>
          <w:rStyle w:val="21"/>
          <w:rFonts w:asciiTheme="minorEastAsia" w:hAnsiTheme="minorEastAsia"/>
        </w:rPr>
        <w:t xml:space="preserve">3-22 </w:t>
      </w:r>
      <w:r>
        <w:rPr>
          <w:rStyle w:val="21"/>
          <w:rFonts w:hint="eastAsia" w:asciiTheme="minorEastAsia" w:hAnsiTheme="minorEastAsia"/>
        </w:rPr>
        <w:t>继续深造与出国原因</w:t>
      </w:r>
      <w:r>
        <w:tab/>
      </w:r>
      <w:r>
        <w:fldChar w:fldCharType="begin"/>
      </w:r>
      <w:r>
        <w:instrText xml:space="preserve"> PAGEREF _Toc470887040 \h </w:instrText>
      </w:r>
      <w:r>
        <w:fldChar w:fldCharType="separate"/>
      </w:r>
      <w:r>
        <w:t>43</w:t>
      </w:r>
      <w:r>
        <w:fldChar w:fldCharType="end"/>
      </w:r>
      <w:r>
        <w:fldChar w:fldCharType="end"/>
      </w:r>
    </w:p>
    <w:p>
      <w:pPr>
        <w:pStyle w:val="17"/>
        <w:tabs>
          <w:tab w:val="right" w:leader="dot" w:pos="8296"/>
        </w:tabs>
        <w:rPr>
          <w:caps w:val="0"/>
          <w:sz w:val="21"/>
          <w:szCs w:val="22"/>
        </w:rPr>
      </w:pPr>
      <w:r>
        <w:fldChar w:fldCharType="begin"/>
      </w:r>
      <w:r>
        <w:instrText xml:space="preserve"> HYPERLINK \l "_Toc470887041" </w:instrText>
      </w:r>
      <w:r>
        <w:fldChar w:fldCharType="separate"/>
      </w:r>
      <w:r>
        <w:rPr>
          <w:rStyle w:val="21"/>
          <w:rFonts w:hint="eastAsia" w:asciiTheme="minorEastAsia" w:hAnsiTheme="minorEastAsia"/>
        </w:rPr>
        <w:t>图</w:t>
      </w:r>
      <w:r>
        <w:rPr>
          <w:rStyle w:val="21"/>
          <w:rFonts w:asciiTheme="minorEastAsia" w:hAnsiTheme="minorEastAsia"/>
        </w:rPr>
        <w:t xml:space="preserve">3-23 </w:t>
      </w:r>
      <w:r>
        <w:rPr>
          <w:rStyle w:val="21"/>
          <w:rFonts w:hint="eastAsia" w:asciiTheme="minorEastAsia" w:hAnsiTheme="minorEastAsia"/>
        </w:rPr>
        <w:t>继续深造与出国类型</w:t>
      </w:r>
      <w:r>
        <w:tab/>
      </w:r>
      <w:r>
        <w:fldChar w:fldCharType="begin"/>
      </w:r>
      <w:r>
        <w:instrText xml:space="preserve"> PAGEREF _Toc470887041 \h </w:instrText>
      </w:r>
      <w:r>
        <w:fldChar w:fldCharType="separate"/>
      </w:r>
      <w:r>
        <w:t>43</w:t>
      </w:r>
      <w:r>
        <w:fldChar w:fldCharType="end"/>
      </w:r>
      <w:r>
        <w:fldChar w:fldCharType="end"/>
      </w:r>
    </w:p>
    <w:p>
      <w:pPr>
        <w:pStyle w:val="17"/>
        <w:tabs>
          <w:tab w:val="right" w:leader="dot" w:pos="8296"/>
        </w:tabs>
        <w:rPr>
          <w:caps w:val="0"/>
          <w:sz w:val="21"/>
          <w:szCs w:val="22"/>
        </w:rPr>
      </w:pPr>
      <w:r>
        <w:fldChar w:fldCharType="begin"/>
      </w:r>
      <w:r>
        <w:instrText xml:space="preserve"> HYPERLINK \l "_Toc470887042" </w:instrText>
      </w:r>
      <w:r>
        <w:fldChar w:fldCharType="separate"/>
      </w:r>
      <w:r>
        <w:rPr>
          <w:rStyle w:val="21"/>
          <w:rFonts w:hint="eastAsia" w:asciiTheme="minorEastAsia" w:hAnsiTheme="minorEastAsia"/>
        </w:rPr>
        <w:t>图</w:t>
      </w:r>
      <w:r>
        <w:rPr>
          <w:rStyle w:val="21"/>
          <w:rFonts w:asciiTheme="minorEastAsia" w:hAnsiTheme="minorEastAsia"/>
        </w:rPr>
        <w:t xml:space="preserve">3-24 </w:t>
      </w:r>
      <w:r>
        <w:rPr>
          <w:rStyle w:val="21"/>
          <w:rFonts w:hint="eastAsia" w:asciiTheme="minorEastAsia" w:hAnsiTheme="minorEastAsia"/>
        </w:rPr>
        <w:t>未就业毕业生求职遇到的困难</w:t>
      </w:r>
      <w:r>
        <w:tab/>
      </w:r>
      <w:r>
        <w:fldChar w:fldCharType="begin"/>
      </w:r>
      <w:r>
        <w:instrText xml:space="preserve"> PAGEREF _Toc470887042 \h </w:instrText>
      </w:r>
      <w:r>
        <w:fldChar w:fldCharType="separate"/>
      </w:r>
      <w:r>
        <w:t>45</w:t>
      </w:r>
      <w:r>
        <w:fldChar w:fldCharType="end"/>
      </w:r>
      <w:r>
        <w:fldChar w:fldCharType="end"/>
      </w:r>
    </w:p>
    <w:p>
      <w:pPr>
        <w:pStyle w:val="17"/>
        <w:tabs>
          <w:tab w:val="right" w:leader="dot" w:pos="8296"/>
        </w:tabs>
        <w:rPr>
          <w:caps w:val="0"/>
          <w:sz w:val="21"/>
          <w:szCs w:val="22"/>
        </w:rPr>
      </w:pPr>
      <w:r>
        <w:fldChar w:fldCharType="begin"/>
      </w:r>
      <w:r>
        <w:instrText xml:space="preserve"> HYPERLINK \l "_Toc470887043" </w:instrText>
      </w:r>
      <w:r>
        <w:fldChar w:fldCharType="separate"/>
      </w:r>
      <w:r>
        <w:rPr>
          <w:rStyle w:val="21"/>
          <w:rFonts w:hint="eastAsia" w:asciiTheme="minorEastAsia" w:hAnsiTheme="minorEastAsia"/>
        </w:rPr>
        <w:t>图</w:t>
      </w:r>
      <w:r>
        <w:rPr>
          <w:rStyle w:val="21"/>
          <w:rFonts w:asciiTheme="minorEastAsia" w:hAnsiTheme="minorEastAsia"/>
        </w:rPr>
        <w:t>3-25</w:t>
      </w:r>
      <w:r>
        <w:rPr>
          <w:rStyle w:val="21"/>
          <w:rFonts w:hint="eastAsia" w:asciiTheme="minorEastAsia" w:hAnsiTheme="minorEastAsia"/>
        </w:rPr>
        <w:t>未就业毕业生尚未就业原因</w:t>
      </w:r>
      <w:r>
        <w:tab/>
      </w:r>
      <w:r>
        <w:fldChar w:fldCharType="begin"/>
      </w:r>
      <w:r>
        <w:instrText xml:space="preserve"> PAGEREF _Toc470887043 \h </w:instrText>
      </w:r>
      <w:r>
        <w:fldChar w:fldCharType="separate"/>
      </w:r>
      <w:r>
        <w:t>45</w:t>
      </w:r>
      <w:r>
        <w:fldChar w:fldCharType="end"/>
      </w:r>
      <w:r>
        <w:fldChar w:fldCharType="end"/>
      </w:r>
    </w:p>
    <w:p>
      <w:pPr>
        <w:pStyle w:val="17"/>
        <w:tabs>
          <w:tab w:val="right" w:leader="dot" w:pos="8296"/>
        </w:tabs>
        <w:rPr>
          <w:caps w:val="0"/>
          <w:sz w:val="21"/>
          <w:szCs w:val="22"/>
        </w:rPr>
      </w:pPr>
      <w:r>
        <w:fldChar w:fldCharType="begin"/>
      </w:r>
      <w:r>
        <w:instrText xml:space="preserve"> HYPERLINK \l "_Toc470887044" </w:instrText>
      </w:r>
      <w:r>
        <w:fldChar w:fldCharType="separate"/>
      </w:r>
      <w:r>
        <w:rPr>
          <w:rStyle w:val="21"/>
          <w:rFonts w:hint="eastAsia" w:asciiTheme="minorEastAsia" w:hAnsiTheme="minorEastAsia"/>
        </w:rPr>
        <w:t>图</w:t>
      </w:r>
      <w:r>
        <w:rPr>
          <w:rStyle w:val="21"/>
          <w:rFonts w:asciiTheme="minorEastAsia" w:hAnsiTheme="minorEastAsia"/>
        </w:rPr>
        <w:t xml:space="preserve">3-26 </w:t>
      </w:r>
      <w:r>
        <w:rPr>
          <w:rStyle w:val="21"/>
          <w:rFonts w:hint="eastAsia" w:asciiTheme="minorEastAsia" w:hAnsiTheme="minorEastAsia"/>
        </w:rPr>
        <w:t>未就业毕业生择业定位</w:t>
      </w:r>
      <w:r>
        <w:tab/>
      </w:r>
      <w:r>
        <w:fldChar w:fldCharType="begin"/>
      </w:r>
      <w:r>
        <w:instrText xml:space="preserve"> PAGEREF _Toc470887044 \h </w:instrText>
      </w:r>
      <w:r>
        <w:fldChar w:fldCharType="separate"/>
      </w:r>
      <w:r>
        <w:t>46</w:t>
      </w:r>
      <w:r>
        <w:fldChar w:fldCharType="end"/>
      </w:r>
      <w:r>
        <w:fldChar w:fldCharType="end"/>
      </w:r>
    </w:p>
    <w:p>
      <w:pPr>
        <w:pStyle w:val="17"/>
        <w:tabs>
          <w:tab w:val="right" w:leader="dot" w:pos="8296"/>
        </w:tabs>
        <w:rPr>
          <w:caps w:val="0"/>
          <w:sz w:val="21"/>
          <w:szCs w:val="22"/>
        </w:rPr>
      </w:pPr>
      <w:r>
        <w:fldChar w:fldCharType="begin"/>
      </w:r>
      <w:r>
        <w:instrText xml:space="preserve"> HYPERLINK \l "_Toc470887045" </w:instrText>
      </w:r>
      <w:r>
        <w:fldChar w:fldCharType="separate"/>
      </w:r>
      <w:r>
        <w:rPr>
          <w:rStyle w:val="21"/>
          <w:rFonts w:hint="eastAsia" w:asciiTheme="minorEastAsia" w:hAnsiTheme="minorEastAsia"/>
        </w:rPr>
        <w:t>图</w:t>
      </w:r>
      <w:r>
        <w:rPr>
          <w:rStyle w:val="21"/>
          <w:rFonts w:asciiTheme="minorEastAsia" w:hAnsiTheme="minorEastAsia"/>
        </w:rPr>
        <w:t xml:space="preserve">3-27 </w:t>
      </w:r>
      <w:r>
        <w:rPr>
          <w:rStyle w:val="21"/>
          <w:rFonts w:hint="eastAsia" w:asciiTheme="minorEastAsia" w:hAnsiTheme="minorEastAsia"/>
        </w:rPr>
        <w:t>未就业毕业生就业地域选择</w:t>
      </w:r>
      <w:r>
        <w:tab/>
      </w:r>
      <w:r>
        <w:fldChar w:fldCharType="begin"/>
      </w:r>
      <w:r>
        <w:instrText xml:space="preserve"> PAGEREF _Toc470887045 \h </w:instrText>
      </w:r>
      <w:r>
        <w:fldChar w:fldCharType="separate"/>
      </w:r>
      <w:r>
        <w:t>47</w:t>
      </w:r>
      <w:r>
        <w:fldChar w:fldCharType="end"/>
      </w:r>
      <w:r>
        <w:fldChar w:fldCharType="end"/>
      </w:r>
    </w:p>
    <w:p>
      <w:r>
        <w:fldChar w:fldCharType="end"/>
      </w:r>
      <w:r>
        <w:t xml:space="preserve"> </w:t>
      </w:r>
      <w:r>
        <w:fldChar w:fldCharType="begin"/>
      </w:r>
      <w:r>
        <w:instrText xml:space="preserve"> TOC \h \z \c "图4-" </w:instrText>
      </w:r>
      <w:r>
        <w:fldChar w:fldCharType="separate"/>
      </w:r>
    </w:p>
    <w:p>
      <w:pPr>
        <w:pStyle w:val="17"/>
        <w:tabs>
          <w:tab w:val="right" w:leader="dot" w:pos="8296"/>
        </w:tabs>
        <w:rPr>
          <w:caps w:val="0"/>
          <w:sz w:val="21"/>
          <w:szCs w:val="22"/>
        </w:rPr>
      </w:pPr>
      <w:r>
        <w:fldChar w:fldCharType="begin"/>
      </w:r>
      <w:r>
        <w:instrText xml:space="preserve"> HYPERLINK \l "_Toc470887017" </w:instrText>
      </w:r>
      <w:r>
        <w:fldChar w:fldCharType="separate"/>
      </w:r>
      <w:r>
        <w:rPr>
          <w:rStyle w:val="21"/>
          <w:rFonts w:hint="eastAsia" w:asciiTheme="minorEastAsia" w:hAnsiTheme="minorEastAsia"/>
        </w:rPr>
        <w:t>图</w:t>
      </w:r>
      <w:r>
        <w:rPr>
          <w:rStyle w:val="21"/>
          <w:rFonts w:asciiTheme="minorEastAsia" w:hAnsiTheme="minorEastAsia"/>
        </w:rPr>
        <w:t>4-1 2014-2016</w:t>
      </w:r>
      <w:r>
        <w:rPr>
          <w:rStyle w:val="21"/>
          <w:rFonts w:hint="eastAsia" w:asciiTheme="minorEastAsia" w:hAnsiTheme="minorEastAsia"/>
        </w:rPr>
        <w:t>届毕业生初次就业率发展趋势分析</w:t>
      </w:r>
      <w:r>
        <w:tab/>
      </w:r>
      <w:r>
        <w:fldChar w:fldCharType="begin"/>
      </w:r>
      <w:r>
        <w:instrText xml:space="preserve"> PAGEREF _Toc470887017 \h </w:instrText>
      </w:r>
      <w:r>
        <w:fldChar w:fldCharType="separate"/>
      </w:r>
      <w:r>
        <w:t>48</w:t>
      </w:r>
      <w:r>
        <w:fldChar w:fldCharType="end"/>
      </w:r>
      <w:r>
        <w:fldChar w:fldCharType="end"/>
      </w:r>
    </w:p>
    <w:p>
      <w:pPr>
        <w:pStyle w:val="17"/>
        <w:tabs>
          <w:tab w:val="right" w:leader="dot" w:pos="8296"/>
        </w:tabs>
        <w:rPr>
          <w:caps w:val="0"/>
          <w:sz w:val="21"/>
          <w:szCs w:val="22"/>
        </w:rPr>
      </w:pPr>
      <w:r>
        <w:fldChar w:fldCharType="begin"/>
      </w:r>
      <w:r>
        <w:instrText xml:space="preserve"> HYPERLINK \l "_Toc470887018" </w:instrText>
      </w:r>
      <w:r>
        <w:fldChar w:fldCharType="separate"/>
      </w:r>
      <w:r>
        <w:rPr>
          <w:rStyle w:val="21"/>
          <w:rFonts w:hint="eastAsia" w:asciiTheme="minorEastAsia" w:hAnsiTheme="minorEastAsia"/>
        </w:rPr>
        <w:t>图</w:t>
      </w:r>
      <w:r>
        <w:rPr>
          <w:rStyle w:val="21"/>
          <w:rFonts w:asciiTheme="minorEastAsia" w:hAnsiTheme="minorEastAsia"/>
        </w:rPr>
        <w:t xml:space="preserve">4-2 </w:t>
      </w:r>
      <w:r>
        <w:rPr>
          <w:rStyle w:val="21"/>
          <w:rFonts w:cs="宋体" w:asciiTheme="minorEastAsia" w:hAnsiTheme="minorEastAsia"/>
        </w:rPr>
        <w:t>2013-2016</w:t>
      </w:r>
      <w:r>
        <w:rPr>
          <w:rStyle w:val="21"/>
          <w:rFonts w:hint="eastAsia" w:cs="宋体" w:asciiTheme="minorEastAsia" w:hAnsiTheme="minorEastAsia"/>
        </w:rPr>
        <w:t>届毕业生分学历初次就业率发展趋势分析</w:t>
      </w:r>
      <w:r>
        <w:tab/>
      </w:r>
      <w:r>
        <w:fldChar w:fldCharType="begin"/>
      </w:r>
      <w:r>
        <w:instrText xml:space="preserve"> PAGEREF _Toc470887018 \h </w:instrText>
      </w:r>
      <w:r>
        <w:fldChar w:fldCharType="separate"/>
      </w:r>
      <w:r>
        <w:t>49</w:t>
      </w:r>
      <w:r>
        <w:fldChar w:fldCharType="end"/>
      </w:r>
      <w:r>
        <w:fldChar w:fldCharType="end"/>
      </w:r>
    </w:p>
    <w:p>
      <w:r>
        <w:fldChar w:fldCharType="end"/>
      </w:r>
      <w:r>
        <w:fldChar w:fldCharType="begin"/>
      </w:r>
      <w:r>
        <w:instrText xml:space="preserve"> TOC \h \z \c "图6-" </w:instrText>
      </w:r>
      <w:r>
        <w:fldChar w:fldCharType="separate"/>
      </w:r>
    </w:p>
    <w:p>
      <w:pPr>
        <w:pStyle w:val="17"/>
        <w:tabs>
          <w:tab w:val="right" w:leader="dot" w:pos="8296"/>
        </w:tabs>
        <w:rPr>
          <w:caps w:val="0"/>
          <w:sz w:val="21"/>
          <w:szCs w:val="22"/>
        </w:rPr>
      </w:pPr>
      <w:r>
        <w:fldChar w:fldCharType="begin"/>
      </w:r>
      <w:r>
        <w:instrText xml:space="preserve"> HYPERLINK \l "_Toc470886997" </w:instrText>
      </w:r>
      <w:r>
        <w:fldChar w:fldCharType="separate"/>
      </w:r>
      <w:r>
        <w:rPr>
          <w:rStyle w:val="21"/>
          <w:rFonts w:hint="eastAsia" w:asciiTheme="minorEastAsia" w:hAnsiTheme="minorEastAsia"/>
        </w:rPr>
        <w:t>图</w:t>
      </w:r>
      <w:r>
        <w:rPr>
          <w:rStyle w:val="21"/>
          <w:rFonts w:asciiTheme="minorEastAsia" w:hAnsiTheme="minorEastAsia"/>
        </w:rPr>
        <w:t xml:space="preserve">6-1 </w:t>
      </w:r>
      <w:r>
        <w:rPr>
          <w:rStyle w:val="21"/>
          <w:rFonts w:hint="eastAsia" w:asciiTheme="minorEastAsia" w:hAnsiTheme="minorEastAsia"/>
        </w:rPr>
        <w:t>毕业生对创业政策的了解程度</w:t>
      </w:r>
      <w:r>
        <w:tab/>
      </w:r>
      <w:r>
        <w:fldChar w:fldCharType="begin"/>
      </w:r>
      <w:r>
        <w:instrText xml:space="preserve"> PAGEREF _Toc470886997 \h </w:instrText>
      </w:r>
      <w:r>
        <w:fldChar w:fldCharType="separate"/>
      </w:r>
      <w:r>
        <w:t>56</w:t>
      </w:r>
      <w:r>
        <w:fldChar w:fldCharType="end"/>
      </w:r>
      <w:r>
        <w:fldChar w:fldCharType="end"/>
      </w:r>
    </w:p>
    <w:p>
      <w:pPr>
        <w:pStyle w:val="17"/>
        <w:tabs>
          <w:tab w:val="right" w:leader="dot" w:pos="8296"/>
        </w:tabs>
        <w:rPr>
          <w:caps w:val="0"/>
          <w:sz w:val="21"/>
          <w:szCs w:val="22"/>
        </w:rPr>
      </w:pPr>
      <w:r>
        <w:fldChar w:fldCharType="begin"/>
      </w:r>
      <w:r>
        <w:instrText xml:space="preserve"> HYPERLINK \l "_Toc470886998" </w:instrText>
      </w:r>
      <w:r>
        <w:fldChar w:fldCharType="separate"/>
      </w:r>
      <w:r>
        <w:rPr>
          <w:rStyle w:val="21"/>
          <w:rFonts w:hint="eastAsia" w:asciiTheme="minorEastAsia" w:hAnsiTheme="minorEastAsia"/>
        </w:rPr>
        <w:t>图</w:t>
      </w:r>
      <w:r>
        <w:rPr>
          <w:rStyle w:val="21"/>
          <w:rFonts w:asciiTheme="minorEastAsia" w:hAnsiTheme="minorEastAsia"/>
        </w:rPr>
        <w:t xml:space="preserve">6-2 </w:t>
      </w:r>
      <w:r>
        <w:rPr>
          <w:rStyle w:val="21"/>
          <w:rFonts w:hint="eastAsia" w:asciiTheme="minorEastAsia" w:hAnsiTheme="minorEastAsia"/>
        </w:rPr>
        <w:t>毕业生认为母校教学需要改进的方面</w:t>
      </w:r>
      <w:r>
        <w:tab/>
      </w:r>
      <w:r>
        <w:fldChar w:fldCharType="begin"/>
      </w:r>
      <w:r>
        <w:instrText xml:space="preserve"> PAGEREF _Toc470886998 \h </w:instrText>
      </w:r>
      <w:r>
        <w:fldChar w:fldCharType="separate"/>
      </w:r>
      <w:r>
        <w:t>59</w:t>
      </w:r>
      <w:r>
        <w:fldChar w:fldCharType="end"/>
      </w:r>
      <w:r>
        <w:fldChar w:fldCharType="end"/>
      </w:r>
    </w:p>
    <w:p>
      <w:pPr>
        <w:pStyle w:val="17"/>
        <w:tabs>
          <w:tab w:val="right" w:leader="dot" w:pos="8296"/>
        </w:tabs>
        <w:rPr>
          <w:caps w:val="0"/>
          <w:sz w:val="21"/>
          <w:szCs w:val="22"/>
        </w:rPr>
      </w:pPr>
      <w:r>
        <w:fldChar w:fldCharType="begin"/>
      </w:r>
      <w:r>
        <w:instrText xml:space="preserve"> HYPERLINK \l "_Toc470886999" </w:instrText>
      </w:r>
      <w:r>
        <w:fldChar w:fldCharType="separate"/>
      </w:r>
      <w:r>
        <w:rPr>
          <w:rStyle w:val="21"/>
          <w:rFonts w:hint="eastAsia" w:asciiTheme="minorEastAsia" w:hAnsiTheme="minorEastAsia"/>
        </w:rPr>
        <w:t>图</w:t>
      </w:r>
      <w:r>
        <w:rPr>
          <w:rStyle w:val="21"/>
          <w:rFonts w:asciiTheme="minorEastAsia" w:hAnsiTheme="minorEastAsia"/>
        </w:rPr>
        <w:t xml:space="preserve">6-3 </w:t>
      </w:r>
      <w:r>
        <w:rPr>
          <w:rStyle w:val="21"/>
          <w:rFonts w:hint="eastAsia" w:asciiTheme="minorEastAsia" w:hAnsiTheme="minorEastAsia"/>
        </w:rPr>
        <w:t>毕业生对母校就业服务的满意度</w:t>
      </w:r>
      <w:r>
        <w:tab/>
      </w:r>
      <w:r>
        <w:fldChar w:fldCharType="begin"/>
      </w:r>
      <w:r>
        <w:instrText xml:space="preserve"> PAGEREF _Toc470886999 \h </w:instrText>
      </w:r>
      <w:r>
        <w:fldChar w:fldCharType="separate"/>
      </w:r>
      <w:r>
        <w:t>60</w:t>
      </w:r>
      <w:r>
        <w:fldChar w:fldCharType="end"/>
      </w:r>
      <w:r>
        <w:fldChar w:fldCharType="end"/>
      </w:r>
    </w:p>
    <w:p>
      <w:pPr>
        <w:pStyle w:val="17"/>
        <w:tabs>
          <w:tab w:val="right" w:leader="dot" w:pos="8296"/>
        </w:tabs>
        <w:rPr>
          <w:caps w:val="0"/>
          <w:sz w:val="21"/>
          <w:szCs w:val="22"/>
        </w:rPr>
      </w:pPr>
      <w:r>
        <w:fldChar w:fldCharType="begin"/>
      </w:r>
      <w:r>
        <w:instrText xml:space="preserve"> HYPERLINK \l "_Toc470887000" </w:instrText>
      </w:r>
      <w:r>
        <w:fldChar w:fldCharType="separate"/>
      </w:r>
      <w:r>
        <w:rPr>
          <w:rStyle w:val="21"/>
          <w:rFonts w:hint="eastAsia" w:asciiTheme="minorEastAsia" w:hAnsiTheme="minorEastAsia"/>
        </w:rPr>
        <w:t>图</w:t>
      </w:r>
      <w:r>
        <w:rPr>
          <w:rStyle w:val="21"/>
          <w:rFonts w:asciiTheme="minorEastAsia" w:hAnsiTheme="minorEastAsia"/>
        </w:rPr>
        <w:t xml:space="preserve">6-4 </w:t>
      </w:r>
      <w:r>
        <w:rPr>
          <w:rStyle w:val="21"/>
          <w:rFonts w:hint="eastAsia" w:asciiTheme="minorEastAsia" w:hAnsiTheme="minorEastAsia"/>
        </w:rPr>
        <w:t>毕业生对母校就业服务满意度平均得分</w:t>
      </w:r>
      <w:r>
        <w:tab/>
      </w:r>
      <w:r>
        <w:fldChar w:fldCharType="begin"/>
      </w:r>
      <w:r>
        <w:instrText xml:space="preserve"> PAGEREF _Toc470887000 \h </w:instrText>
      </w:r>
      <w:r>
        <w:fldChar w:fldCharType="separate"/>
      </w:r>
      <w:r>
        <w:t>60</w:t>
      </w:r>
      <w:r>
        <w:fldChar w:fldCharType="end"/>
      </w:r>
      <w:r>
        <w:fldChar w:fldCharType="end"/>
      </w:r>
    </w:p>
    <w:p>
      <w:pPr>
        <w:pStyle w:val="17"/>
        <w:tabs>
          <w:tab w:val="right" w:leader="dot" w:pos="8296"/>
        </w:tabs>
        <w:rPr>
          <w:caps w:val="0"/>
          <w:sz w:val="21"/>
          <w:szCs w:val="22"/>
        </w:rPr>
      </w:pPr>
      <w:r>
        <w:fldChar w:fldCharType="begin"/>
      </w:r>
      <w:r>
        <w:instrText xml:space="preserve"> HYPERLINK \l "_Toc470887001" </w:instrText>
      </w:r>
      <w:r>
        <w:fldChar w:fldCharType="separate"/>
      </w:r>
      <w:r>
        <w:rPr>
          <w:rStyle w:val="21"/>
          <w:rFonts w:hint="eastAsia" w:asciiTheme="minorEastAsia" w:hAnsiTheme="minorEastAsia"/>
        </w:rPr>
        <w:t>图</w:t>
      </w:r>
      <w:r>
        <w:rPr>
          <w:rStyle w:val="21"/>
          <w:rFonts w:asciiTheme="minorEastAsia" w:hAnsiTheme="minorEastAsia"/>
        </w:rPr>
        <w:t xml:space="preserve">6-5 </w:t>
      </w:r>
      <w:r>
        <w:rPr>
          <w:rStyle w:val="21"/>
          <w:rFonts w:hint="eastAsia" w:asciiTheme="minorEastAsia" w:hAnsiTheme="minorEastAsia"/>
        </w:rPr>
        <w:t>毕业生对母校推荐度</w:t>
      </w:r>
      <w:r>
        <w:tab/>
      </w:r>
      <w:r>
        <w:fldChar w:fldCharType="begin"/>
      </w:r>
      <w:r>
        <w:instrText xml:space="preserve"> PAGEREF _Toc470887001 \h </w:instrText>
      </w:r>
      <w:r>
        <w:fldChar w:fldCharType="separate"/>
      </w:r>
      <w:r>
        <w:t>61</w:t>
      </w:r>
      <w:r>
        <w:fldChar w:fldCharType="end"/>
      </w:r>
      <w:r>
        <w:fldChar w:fldCharType="end"/>
      </w:r>
    </w:p>
    <w:p>
      <w:pPr>
        <w:pStyle w:val="17"/>
        <w:tabs>
          <w:tab w:val="right" w:leader="dot" w:pos="8296"/>
        </w:tabs>
        <w:rPr>
          <w:caps w:val="0"/>
          <w:sz w:val="21"/>
          <w:szCs w:val="22"/>
        </w:rPr>
      </w:pPr>
      <w:r>
        <w:fldChar w:fldCharType="begin"/>
      </w:r>
      <w:r>
        <w:instrText xml:space="preserve"> HYPERLINK \l "_Toc470887002" </w:instrText>
      </w:r>
      <w:r>
        <w:fldChar w:fldCharType="separate"/>
      </w:r>
      <w:r>
        <w:rPr>
          <w:rStyle w:val="21"/>
          <w:rFonts w:hint="eastAsia" w:asciiTheme="minorEastAsia" w:hAnsiTheme="minorEastAsia"/>
        </w:rPr>
        <w:t>图</w:t>
      </w:r>
      <w:r>
        <w:rPr>
          <w:rStyle w:val="21"/>
          <w:rFonts w:asciiTheme="minorEastAsia" w:hAnsiTheme="minorEastAsia"/>
        </w:rPr>
        <w:t xml:space="preserve">6-6 </w:t>
      </w:r>
      <w:r>
        <w:rPr>
          <w:rStyle w:val="21"/>
          <w:rFonts w:hint="eastAsia" w:asciiTheme="minorEastAsia" w:hAnsiTheme="minorEastAsia"/>
        </w:rPr>
        <w:t>各指标重要性</w:t>
      </w:r>
      <w:r>
        <w:tab/>
      </w:r>
      <w:r>
        <w:fldChar w:fldCharType="begin"/>
      </w:r>
      <w:r>
        <w:instrText xml:space="preserve"> PAGEREF _Toc470887002 \h </w:instrText>
      </w:r>
      <w:r>
        <w:fldChar w:fldCharType="separate"/>
      </w:r>
      <w:r>
        <w:t>63</w:t>
      </w:r>
      <w:r>
        <w:fldChar w:fldCharType="end"/>
      </w:r>
      <w:r>
        <w:fldChar w:fldCharType="end"/>
      </w:r>
    </w:p>
    <w:p>
      <w:pPr>
        <w:pStyle w:val="17"/>
        <w:tabs>
          <w:tab w:val="right" w:leader="dot" w:pos="8296"/>
        </w:tabs>
        <w:rPr>
          <w:caps w:val="0"/>
          <w:sz w:val="21"/>
          <w:szCs w:val="22"/>
        </w:rPr>
      </w:pPr>
      <w:r>
        <w:fldChar w:fldCharType="begin"/>
      </w:r>
      <w:r>
        <w:instrText xml:space="preserve"> HYPERLINK \l "_Toc470887003" </w:instrText>
      </w:r>
      <w:r>
        <w:fldChar w:fldCharType="separate"/>
      </w:r>
      <w:r>
        <w:rPr>
          <w:rStyle w:val="21"/>
          <w:rFonts w:hint="eastAsia" w:asciiTheme="minorEastAsia" w:hAnsiTheme="minorEastAsia"/>
        </w:rPr>
        <w:t>图</w:t>
      </w:r>
      <w:r>
        <w:rPr>
          <w:rStyle w:val="21"/>
          <w:rFonts w:asciiTheme="minorEastAsia" w:hAnsiTheme="minorEastAsia"/>
        </w:rPr>
        <w:t xml:space="preserve">6-7 </w:t>
      </w:r>
      <w:r>
        <w:rPr>
          <w:rStyle w:val="21"/>
          <w:rFonts w:hint="eastAsia" w:asciiTheme="minorEastAsia" w:hAnsiTheme="minorEastAsia"/>
        </w:rPr>
        <w:t>重要性</w:t>
      </w:r>
      <w:r>
        <w:rPr>
          <w:rStyle w:val="21"/>
          <w:rFonts w:asciiTheme="minorEastAsia" w:hAnsiTheme="minorEastAsia"/>
        </w:rPr>
        <w:t>-</w:t>
      </w:r>
      <w:r>
        <w:rPr>
          <w:rStyle w:val="21"/>
          <w:rFonts w:hint="eastAsia" w:asciiTheme="minorEastAsia" w:hAnsiTheme="minorEastAsia"/>
        </w:rPr>
        <w:t>满意度四象限图</w:t>
      </w:r>
      <w:r>
        <w:tab/>
      </w:r>
      <w:r>
        <w:fldChar w:fldCharType="begin"/>
      </w:r>
      <w:r>
        <w:instrText xml:space="preserve"> PAGEREF _Toc470887003 \h </w:instrText>
      </w:r>
      <w:r>
        <w:fldChar w:fldCharType="separate"/>
      </w:r>
      <w:r>
        <w:t>64</w:t>
      </w:r>
      <w:r>
        <w:fldChar w:fldCharType="end"/>
      </w:r>
      <w:r>
        <w:fldChar w:fldCharType="end"/>
      </w:r>
    </w:p>
    <w:p>
      <w:pPr>
        <w:pStyle w:val="17"/>
        <w:tabs>
          <w:tab w:val="right" w:leader="dot" w:pos="8296"/>
        </w:tabs>
        <w:rPr>
          <w:caps w:val="0"/>
          <w:sz w:val="21"/>
          <w:szCs w:val="22"/>
        </w:rPr>
      </w:pPr>
      <w:r>
        <w:fldChar w:fldCharType="begin"/>
      </w:r>
      <w:r>
        <w:instrText xml:space="preserve"> HYPERLINK \l "_Toc470887004" </w:instrText>
      </w:r>
      <w:r>
        <w:fldChar w:fldCharType="separate"/>
      </w:r>
      <w:r>
        <w:rPr>
          <w:rStyle w:val="21"/>
          <w:rFonts w:hint="eastAsia" w:asciiTheme="minorEastAsia" w:hAnsiTheme="minorEastAsia"/>
        </w:rPr>
        <w:t>图</w:t>
      </w:r>
      <w:r>
        <w:rPr>
          <w:rStyle w:val="21"/>
          <w:rFonts w:asciiTheme="minorEastAsia" w:hAnsiTheme="minorEastAsia"/>
        </w:rPr>
        <w:t xml:space="preserve">6-8 </w:t>
      </w:r>
      <w:r>
        <w:rPr>
          <w:rStyle w:val="21"/>
          <w:rFonts w:hint="eastAsia" w:asciiTheme="minorEastAsia" w:hAnsiTheme="minorEastAsia"/>
        </w:rPr>
        <w:t>用人单位规模</w:t>
      </w:r>
      <w:r>
        <w:tab/>
      </w:r>
      <w:r>
        <w:fldChar w:fldCharType="begin"/>
      </w:r>
      <w:r>
        <w:instrText xml:space="preserve"> PAGEREF _Toc470887004 \h </w:instrText>
      </w:r>
      <w:r>
        <w:fldChar w:fldCharType="separate"/>
      </w:r>
      <w:r>
        <w:t>65</w:t>
      </w:r>
      <w:r>
        <w:fldChar w:fldCharType="end"/>
      </w:r>
      <w:r>
        <w:fldChar w:fldCharType="end"/>
      </w:r>
    </w:p>
    <w:p>
      <w:pPr>
        <w:pStyle w:val="17"/>
        <w:tabs>
          <w:tab w:val="right" w:leader="dot" w:pos="8296"/>
        </w:tabs>
        <w:rPr>
          <w:caps w:val="0"/>
          <w:sz w:val="21"/>
          <w:szCs w:val="22"/>
        </w:rPr>
      </w:pPr>
      <w:r>
        <w:fldChar w:fldCharType="begin"/>
      </w:r>
      <w:r>
        <w:instrText xml:space="preserve"> HYPERLINK \l "_Toc470887005" </w:instrText>
      </w:r>
      <w:r>
        <w:fldChar w:fldCharType="separate"/>
      </w:r>
      <w:r>
        <w:rPr>
          <w:rStyle w:val="21"/>
          <w:rFonts w:hint="eastAsia" w:asciiTheme="minorEastAsia" w:hAnsiTheme="minorEastAsia"/>
        </w:rPr>
        <w:t>图</w:t>
      </w:r>
      <w:r>
        <w:rPr>
          <w:rStyle w:val="21"/>
          <w:rFonts w:asciiTheme="minorEastAsia" w:hAnsiTheme="minorEastAsia"/>
        </w:rPr>
        <w:t xml:space="preserve">6-9 </w:t>
      </w:r>
      <w:r>
        <w:rPr>
          <w:rStyle w:val="21"/>
          <w:rFonts w:hint="eastAsia" w:asciiTheme="minorEastAsia" w:hAnsiTheme="minorEastAsia"/>
        </w:rPr>
        <w:t>用人单位性质</w:t>
      </w:r>
      <w:r>
        <w:tab/>
      </w:r>
      <w:r>
        <w:fldChar w:fldCharType="begin"/>
      </w:r>
      <w:r>
        <w:instrText xml:space="preserve"> PAGEREF _Toc470887005 \h </w:instrText>
      </w:r>
      <w:r>
        <w:fldChar w:fldCharType="separate"/>
      </w:r>
      <w:r>
        <w:t>65</w:t>
      </w:r>
      <w:r>
        <w:fldChar w:fldCharType="end"/>
      </w:r>
      <w:r>
        <w:fldChar w:fldCharType="end"/>
      </w:r>
    </w:p>
    <w:p>
      <w:pPr>
        <w:pStyle w:val="17"/>
        <w:tabs>
          <w:tab w:val="right" w:leader="dot" w:pos="8296"/>
        </w:tabs>
        <w:rPr>
          <w:caps w:val="0"/>
          <w:sz w:val="21"/>
          <w:szCs w:val="22"/>
        </w:rPr>
      </w:pPr>
      <w:r>
        <w:fldChar w:fldCharType="begin"/>
      </w:r>
      <w:r>
        <w:instrText xml:space="preserve"> HYPERLINK \l "_Toc470887006" </w:instrText>
      </w:r>
      <w:r>
        <w:fldChar w:fldCharType="separate"/>
      </w:r>
      <w:r>
        <w:rPr>
          <w:rStyle w:val="21"/>
          <w:rFonts w:hint="eastAsia" w:asciiTheme="minorEastAsia" w:hAnsiTheme="minorEastAsia"/>
        </w:rPr>
        <w:t>图</w:t>
      </w:r>
      <w:r>
        <w:rPr>
          <w:rStyle w:val="21"/>
          <w:rFonts w:asciiTheme="minorEastAsia" w:hAnsiTheme="minorEastAsia"/>
        </w:rPr>
        <w:t xml:space="preserve">6-10 </w:t>
      </w:r>
      <w:r>
        <w:rPr>
          <w:rStyle w:val="21"/>
          <w:rFonts w:hint="eastAsia" w:asciiTheme="minorEastAsia" w:hAnsiTheme="minorEastAsia"/>
        </w:rPr>
        <w:t>用人单位所属行业</w:t>
      </w:r>
      <w:r>
        <w:tab/>
      </w:r>
      <w:r>
        <w:fldChar w:fldCharType="begin"/>
      </w:r>
      <w:r>
        <w:instrText xml:space="preserve"> PAGEREF _Toc470887006 \h </w:instrText>
      </w:r>
      <w:r>
        <w:fldChar w:fldCharType="separate"/>
      </w:r>
      <w:r>
        <w:t>66</w:t>
      </w:r>
      <w:r>
        <w:fldChar w:fldCharType="end"/>
      </w:r>
      <w:r>
        <w:fldChar w:fldCharType="end"/>
      </w:r>
    </w:p>
    <w:p>
      <w:pPr>
        <w:pStyle w:val="17"/>
        <w:tabs>
          <w:tab w:val="right" w:leader="dot" w:pos="8296"/>
        </w:tabs>
        <w:rPr>
          <w:caps w:val="0"/>
          <w:sz w:val="21"/>
          <w:szCs w:val="22"/>
        </w:rPr>
      </w:pPr>
      <w:r>
        <w:fldChar w:fldCharType="begin"/>
      </w:r>
      <w:r>
        <w:instrText xml:space="preserve"> HYPERLINK \l "_Toc470887007" </w:instrText>
      </w:r>
      <w:r>
        <w:fldChar w:fldCharType="separate"/>
      </w:r>
      <w:r>
        <w:rPr>
          <w:rStyle w:val="21"/>
          <w:rFonts w:hint="eastAsia" w:asciiTheme="minorEastAsia" w:hAnsiTheme="minorEastAsia"/>
        </w:rPr>
        <w:t>图</w:t>
      </w:r>
      <w:r>
        <w:rPr>
          <w:rStyle w:val="21"/>
          <w:rFonts w:asciiTheme="minorEastAsia" w:hAnsiTheme="minorEastAsia"/>
        </w:rPr>
        <w:t xml:space="preserve">6-11 </w:t>
      </w:r>
      <w:r>
        <w:rPr>
          <w:rStyle w:val="21"/>
          <w:rFonts w:hint="eastAsia" w:asciiTheme="minorEastAsia" w:hAnsiTheme="minorEastAsia"/>
        </w:rPr>
        <w:t>用人单位招聘毕业生的渠道</w:t>
      </w:r>
      <w:r>
        <w:tab/>
      </w:r>
      <w:r>
        <w:fldChar w:fldCharType="begin"/>
      </w:r>
      <w:r>
        <w:instrText xml:space="preserve"> PAGEREF _Toc470887007 \h </w:instrText>
      </w:r>
      <w:r>
        <w:fldChar w:fldCharType="separate"/>
      </w:r>
      <w:r>
        <w:t>67</w:t>
      </w:r>
      <w:r>
        <w:fldChar w:fldCharType="end"/>
      </w:r>
      <w:r>
        <w:fldChar w:fldCharType="end"/>
      </w:r>
    </w:p>
    <w:p>
      <w:pPr>
        <w:pStyle w:val="17"/>
        <w:tabs>
          <w:tab w:val="right" w:leader="dot" w:pos="8296"/>
        </w:tabs>
        <w:rPr>
          <w:caps w:val="0"/>
          <w:sz w:val="21"/>
          <w:szCs w:val="22"/>
        </w:rPr>
      </w:pPr>
      <w:r>
        <w:fldChar w:fldCharType="begin"/>
      </w:r>
      <w:r>
        <w:instrText xml:space="preserve"> HYPERLINK \l "_Toc470887008" </w:instrText>
      </w:r>
      <w:r>
        <w:fldChar w:fldCharType="separate"/>
      </w:r>
      <w:r>
        <w:rPr>
          <w:rStyle w:val="21"/>
          <w:rFonts w:hint="eastAsia" w:asciiTheme="minorEastAsia" w:hAnsiTheme="minorEastAsia"/>
        </w:rPr>
        <w:t>图</w:t>
      </w:r>
      <w:r>
        <w:rPr>
          <w:rStyle w:val="21"/>
          <w:rFonts w:asciiTheme="minorEastAsia" w:hAnsiTheme="minorEastAsia"/>
        </w:rPr>
        <w:t xml:space="preserve">6-12 </w:t>
      </w:r>
      <w:r>
        <w:rPr>
          <w:rStyle w:val="21"/>
          <w:rFonts w:hint="eastAsia" w:asciiTheme="minorEastAsia" w:hAnsiTheme="minorEastAsia"/>
        </w:rPr>
        <w:t>用人单位对毕业生专业的关注度</w:t>
      </w:r>
      <w:r>
        <w:tab/>
      </w:r>
      <w:r>
        <w:fldChar w:fldCharType="begin"/>
      </w:r>
      <w:r>
        <w:instrText xml:space="preserve"> PAGEREF _Toc470887008 \h </w:instrText>
      </w:r>
      <w:r>
        <w:fldChar w:fldCharType="separate"/>
      </w:r>
      <w:r>
        <w:t>67</w:t>
      </w:r>
      <w:r>
        <w:fldChar w:fldCharType="end"/>
      </w:r>
      <w:r>
        <w:fldChar w:fldCharType="end"/>
      </w:r>
    </w:p>
    <w:p>
      <w:pPr>
        <w:pStyle w:val="17"/>
        <w:tabs>
          <w:tab w:val="right" w:leader="dot" w:pos="8296"/>
        </w:tabs>
        <w:rPr>
          <w:caps w:val="0"/>
          <w:sz w:val="21"/>
          <w:szCs w:val="22"/>
        </w:rPr>
      </w:pPr>
      <w:r>
        <w:fldChar w:fldCharType="begin"/>
      </w:r>
      <w:r>
        <w:instrText xml:space="preserve"> HYPERLINK \l "_Toc470887009" </w:instrText>
      </w:r>
      <w:r>
        <w:fldChar w:fldCharType="separate"/>
      </w:r>
      <w:r>
        <w:rPr>
          <w:rStyle w:val="21"/>
          <w:rFonts w:hint="eastAsia" w:asciiTheme="minorEastAsia" w:hAnsiTheme="minorEastAsia"/>
        </w:rPr>
        <w:t>图</w:t>
      </w:r>
      <w:r>
        <w:rPr>
          <w:rStyle w:val="21"/>
          <w:rFonts w:asciiTheme="minorEastAsia" w:hAnsiTheme="minorEastAsia"/>
        </w:rPr>
        <w:t xml:space="preserve">6-13 </w:t>
      </w:r>
      <w:r>
        <w:rPr>
          <w:rStyle w:val="21"/>
          <w:rFonts w:hint="eastAsia" w:asciiTheme="minorEastAsia" w:hAnsiTheme="minorEastAsia"/>
        </w:rPr>
        <w:t>用人单位招聘毕业生的薪资待遇</w:t>
      </w:r>
      <w:r>
        <w:tab/>
      </w:r>
      <w:r>
        <w:fldChar w:fldCharType="begin"/>
      </w:r>
      <w:r>
        <w:instrText xml:space="preserve"> PAGEREF _Toc470887009 \h </w:instrText>
      </w:r>
      <w:r>
        <w:fldChar w:fldCharType="separate"/>
      </w:r>
      <w:r>
        <w:t>68</w:t>
      </w:r>
      <w:r>
        <w:fldChar w:fldCharType="end"/>
      </w:r>
      <w:r>
        <w:fldChar w:fldCharType="end"/>
      </w:r>
    </w:p>
    <w:p>
      <w:pPr>
        <w:pStyle w:val="17"/>
        <w:tabs>
          <w:tab w:val="right" w:leader="dot" w:pos="8296"/>
        </w:tabs>
        <w:rPr>
          <w:caps w:val="0"/>
          <w:sz w:val="21"/>
          <w:szCs w:val="22"/>
        </w:rPr>
      </w:pPr>
      <w:r>
        <w:fldChar w:fldCharType="begin"/>
      </w:r>
      <w:r>
        <w:instrText xml:space="preserve"> HYPERLINK \l "_Toc470887010" </w:instrText>
      </w:r>
      <w:r>
        <w:fldChar w:fldCharType="separate"/>
      </w:r>
      <w:r>
        <w:rPr>
          <w:rStyle w:val="21"/>
          <w:rFonts w:hint="eastAsia" w:asciiTheme="minorEastAsia" w:hAnsiTheme="minorEastAsia"/>
        </w:rPr>
        <w:t>图</w:t>
      </w:r>
      <w:r>
        <w:rPr>
          <w:rStyle w:val="21"/>
          <w:rFonts w:asciiTheme="minorEastAsia" w:hAnsiTheme="minorEastAsia"/>
        </w:rPr>
        <w:t xml:space="preserve">6-14 </w:t>
      </w:r>
      <w:r>
        <w:rPr>
          <w:rStyle w:val="21"/>
          <w:rFonts w:hint="eastAsia" w:asciiTheme="minorEastAsia" w:hAnsiTheme="minorEastAsia"/>
        </w:rPr>
        <w:t>用人单位招聘毕业生的学历需求</w:t>
      </w:r>
      <w:r>
        <w:tab/>
      </w:r>
      <w:r>
        <w:fldChar w:fldCharType="begin"/>
      </w:r>
      <w:r>
        <w:instrText xml:space="preserve"> PAGEREF _Toc470887010 \h </w:instrText>
      </w:r>
      <w:r>
        <w:fldChar w:fldCharType="separate"/>
      </w:r>
      <w:r>
        <w:t>68</w:t>
      </w:r>
      <w:r>
        <w:fldChar w:fldCharType="end"/>
      </w:r>
      <w:r>
        <w:fldChar w:fldCharType="end"/>
      </w:r>
    </w:p>
    <w:p>
      <w:pPr>
        <w:pStyle w:val="17"/>
        <w:tabs>
          <w:tab w:val="right" w:leader="dot" w:pos="8296"/>
        </w:tabs>
        <w:rPr>
          <w:caps w:val="0"/>
          <w:sz w:val="21"/>
          <w:szCs w:val="22"/>
        </w:rPr>
      </w:pPr>
      <w:r>
        <w:fldChar w:fldCharType="begin"/>
      </w:r>
      <w:r>
        <w:instrText xml:space="preserve"> HYPERLINK \l "_Toc470887011" </w:instrText>
      </w:r>
      <w:r>
        <w:fldChar w:fldCharType="separate"/>
      </w:r>
      <w:r>
        <w:rPr>
          <w:rStyle w:val="21"/>
          <w:rFonts w:hint="eastAsia" w:asciiTheme="minorEastAsia" w:hAnsiTheme="minorEastAsia"/>
        </w:rPr>
        <w:t>图</w:t>
      </w:r>
      <w:r>
        <w:rPr>
          <w:rStyle w:val="21"/>
          <w:rFonts w:asciiTheme="minorEastAsia" w:hAnsiTheme="minorEastAsia"/>
        </w:rPr>
        <w:t xml:space="preserve">6-15 </w:t>
      </w:r>
      <w:r>
        <w:rPr>
          <w:rStyle w:val="21"/>
          <w:rFonts w:hint="eastAsia" w:asciiTheme="minorEastAsia" w:hAnsiTheme="minorEastAsia"/>
        </w:rPr>
        <w:t>用人单位招聘毕业生时关注的因素</w:t>
      </w:r>
      <w:r>
        <w:tab/>
      </w:r>
      <w:r>
        <w:fldChar w:fldCharType="begin"/>
      </w:r>
      <w:r>
        <w:instrText xml:space="preserve"> PAGEREF _Toc470887011 \h </w:instrText>
      </w:r>
      <w:r>
        <w:fldChar w:fldCharType="separate"/>
      </w:r>
      <w:r>
        <w:t>69</w:t>
      </w:r>
      <w:r>
        <w:fldChar w:fldCharType="end"/>
      </w:r>
      <w:r>
        <w:fldChar w:fldCharType="end"/>
      </w:r>
    </w:p>
    <w:p>
      <w:pPr>
        <w:pStyle w:val="17"/>
        <w:tabs>
          <w:tab w:val="right" w:leader="dot" w:pos="8296"/>
        </w:tabs>
        <w:rPr>
          <w:caps w:val="0"/>
          <w:sz w:val="21"/>
          <w:szCs w:val="22"/>
        </w:rPr>
      </w:pPr>
      <w:r>
        <w:fldChar w:fldCharType="begin"/>
      </w:r>
      <w:r>
        <w:instrText xml:space="preserve"> HYPERLINK \l "_Toc470887012" </w:instrText>
      </w:r>
      <w:r>
        <w:fldChar w:fldCharType="separate"/>
      </w:r>
      <w:r>
        <w:rPr>
          <w:rStyle w:val="21"/>
          <w:rFonts w:hint="eastAsia" w:asciiTheme="minorEastAsia" w:hAnsiTheme="minorEastAsia"/>
        </w:rPr>
        <w:t>图</w:t>
      </w:r>
      <w:r>
        <w:rPr>
          <w:rStyle w:val="21"/>
          <w:rFonts w:asciiTheme="minorEastAsia" w:hAnsiTheme="minorEastAsia"/>
        </w:rPr>
        <w:t xml:space="preserve">6-16 </w:t>
      </w:r>
      <w:r>
        <w:rPr>
          <w:rStyle w:val="21"/>
          <w:rFonts w:hint="eastAsia" w:asciiTheme="minorEastAsia" w:hAnsiTheme="minorEastAsia"/>
        </w:rPr>
        <w:t>用人单位对学校总体人才培养的评价</w:t>
      </w:r>
      <w:r>
        <w:tab/>
      </w:r>
      <w:r>
        <w:fldChar w:fldCharType="begin"/>
      </w:r>
      <w:r>
        <w:instrText xml:space="preserve"> PAGEREF _Toc470887012 \h </w:instrText>
      </w:r>
      <w:r>
        <w:fldChar w:fldCharType="separate"/>
      </w:r>
      <w:r>
        <w:t>71</w:t>
      </w:r>
      <w:r>
        <w:fldChar w:fldCharType="end"/>
      </w:r>
      <w:r>
        <w:fldChar w:fldCharType="end"/>
      </w:r>
    </w:p>
    <w:p>
      <w:pPr>
        <w:pStyle w:val="17"/>
        <w:tabs>
          <w:tab w:val="right" w:leader="dot" w:pos="8296"/>
        </w:tabs>
        <w:rPr>
          <w:caps w:val="0"/>
          <w:sz w:val="21"/>
          <w:szCs w:val="22"/>
        </w:rPr>
      </w:pPr>
      <w:r>
        <w:fldChar w:fldCharType="begin"/>
      </w:r>
      <w:r>
        <w:instrText xml:space="preserve"> HYPERLINK \l "_Toc470887013" </w:instrText>
      </w:r>
      <w:r>
        <w:fldChar w:fldCharType="separate"/>
      </w:r>
      <w:r>
        <w:rPr>
          <w:rStyle w:val="21"/>
          <w:rFonts w:hint="eastAsia" w:asciiTheme="minorEastAsia" w:hAnsiTheme="minorEastAsia"/>
        </w:rPr>
        <w:t>图</w:t>
      </w:r>
      <w:r>
        <w:rPr>
          <w:rStyle w:val="21"/>
          <w:rFonts w:asciiTheme="minorEastAsia" w:hAnsiTheme="minorEastAsia"/>
        </w:rPr>
        <w:t xml:space="preserve">6-17 </w:t>
      </w:r>
      <w:r>
        <w:rPr>
          <w:rStyle w:val="21"/>
          <w:rFonts w:hint="eastAsia" w:asciiTheme="minorEastAsia" w:hAnsiTheme="minorEastAsia"/>
        </w:rPr>
        <w:t>用人单位对学校就业服务的反馈建议</w:t>
      </w:r>
      <w:r>
        <w:tab/>
      </w:r>
      <w:r>
        <w:fldChar w:fldCharType="begin"/>
      </w:r>
      <w:r>
        <w:instrText xml:space="preserve"> PAGEREF _Toc470887013 \h </w:instrText>
      </w:r>
      <w:r>
        <w:fldChar w:fldCharType="separate"/>
      </w:r>
      <w:r>
        <w:t>72</w:t>
      </w:r>
      <w:r>
        <w:fldChar w:fldCharType="end"/>
      </w:r>
      <w:r>
        <w:fldChar w:fldCharType="end"/>
      </w:r>
    </w:p>
    <w:p>
      <w:pPr>
        <w:pStyle w:val="17"/>
        <w:tabs>
          <w:tab w:val="right" w:leader="dot" w:pos="8296"/>
        </w:tabs>
        <w:rPr>
          <w:caps w:val="0"/>
          <w:sz w:val="21"/>
          <w:szCs w:val="22"/>
        </w:rPr>
      </w:pPr>
      <w:r>
        <w:fldChar w:fldCharType="begin"/>
      </w:r>
      <w:r>
        <w:instrText xml:space="preserve"> HYPERLINK \l "_Toc470887014" </w:instrText>
      </w:r>
      <w:r>
        <w:fldChar w:fldCharType="separate"/>
      </w:r>
      <w:r>
        <w:rPr>
          <w:rStyle w:val="21"/>
          <w:rFonts w:hint="eastAsia" w:asciiTheme="minorEastAsia" w:hAnsiTheme="minorEastAsia"/>
        </w:rPr>
        <w:t>图</w:t>
      </w:r>
      <w:r>
        <w:rPr>
          <w:rStyle w:val="21"/>
          <w:rFonts w:asciiTheme="minorEastAsia" w:hAnsiTheme="minorEastAsia"/>
        </w:rPr>
        <w:t xml:space="preserve">6-18 </w:t>
      </w:r>
      <w:r>
        <w:rPr>
          <w:rStyle w:val="21"/>
          <w:rFonts w:hint="eastAsia" w:asciiTheme="minorEastAsia" w:hAnsiTheme="minorEastAsia"/>
        </w:rPr>
        <w:t>碎石图</w:t>
      </w:r>
      <w:r>
        <w:tab/>
      </w:r>
      <w:r>
        <w:fldChar w:fldCharType="begin"/>
      </w:r>
      <w:r>
        <w:instrText xml:space="preserve"> PAGEREF _Toc470887014 \h </w:instrText>
      </w:r>
      <w:r>
        <w:fldChar w:fldCharType="separate"/>
      </w:r>
      <w:r>
        <w:t>76</w:t>
      </w:r>
      <w:r>
        <w:fldChar w:fldCharType="end"/>
      </w:r>
      <w:r>
        <w:fldChar w:fldCharType="end"/>
      </w:r>
    </w:p>
    <w:p>
      <w:pPr>
        <w:pStyle w:val="17"/>
        <w:tabs>
          <w:tab w:val="right" w:leader="dot" w:pos="8296"/>
        </w:tabs>
        <w:rPr>
          <w:caps w:val="0"/>
          <w:sz w:val="21"/>
          <w:szCs w:val="22"/>
        </w:rPr>
      </w:pPr>
      <w:r>
        <w:fldChar w:fldCharType="begin"/>
      </w:r>
      <w:r>
        <w:instrText xml:space="preserve"> HYPERLINK \l "_Toc470887015" </w:instrText>
      </w:r>
      <w:r>
        <w:fldChar w:fldCharType="separate"/>
      </w:r>
      <w:r>
        <w:rPr>
          <w:rStyle w:val="21"/>
          <w:rFonts w:hint="eastAsia" w:asciiTheme="minorEastAsia" w:hAnsiTheme="minorEastAsia"/>
        </w:rPr>
        <w:t>图</w:t>
      </w:r>
      <w:r>
        <w:rPr>
          <w:rStyle w:val="21"/>
          <w:rFonts w:asciiTheme="minorEastAsia" w:hAnsiTheme="minorEastAsia"/>
        </w:rPr>
        <w:t xml:space="preserve">6-19 </w:t>
      </w:r>
      <w:r>
        <w:rPr>
          <w:rStyle w:val="21"/>
          <w:rFonts w:hint="eastAsia" w:asciiTheme="minorEastAsia" w:hAnsiTheme="minorEastAsia"/>
        </w:rPr>
        <w:t>各指标重要性</w:t>
      </w:r>
      <w:r>
        <w:tab/>
      </w:r>
      <w:r>
        <w:fldChar w:fldCharType="begin"/>
      </w:r>
      <w:r>
        <w:instrText xml:space="preserve"> PAGEREF _Toc470887015 \h </w:instrText>
      </w:r>
      <w:r>
        <w:fldChar w:fldCharType="separate"/>
      </w:r>
      <w:r>
        <w:t>77</w:t>
      </w:r>
      <w:r>
        <w:fldChar w:fldCharType="end"/>
      </w:r>
      <w:r>
        <w:fldChar w:fldCharType="end"/>
      </w:r>
    </w:p>
    <w:p>
      <w:pPr>
        <w:pStyle w:val="17"/>
        <w:tabs>
          <w:tab w:val="right" w:leader="dot" w:pos="8296"/>
        </w:tabs>
        <w:rPr>
          <w:caps w:val="0"/>
          <w:sz w:val="21"/>
          <w:szCs w:val="22"/>
        </w:rPr>
      </w:pPr>
      <w:r>
        <w:fldChar w:fldCharType="begin"/>
      </w:r>
      <w:r>
        <w:instrText xml:space="preserve"> HYPERLINK \l "_Toc470887016" </w:instrText>
      </w:r>
      <w:r>
        <w:fldChar w:fldCharType="separate"/>
      </w:r>
      <w:r>
        <w:rPr>
          <w:rStyle w:val="21"/>
          <w:rFonts w:hint="eastAsia" w:asciiTheme="minorEastAsia" w:hAnsiTheme="minorEastAsia"/>
        </w:rPr>
        <w:t>图</w:t>
      </w:r>
      <w:r>
        <w:rPr>
          <w:rStyle w:val="21"/>
          <w:rFonts w:asciiTheme="minorEastAsia" w:hAnsiTheme="minorEastAsia"/>
        </w:rPr>
        <w:t xml:space="preserve">6-20 </w:t>
      </w:r>
      <w:r>
        <w:rPr>
          <w:rStyle w:val="21"/>
          <w:rFonts w:hint="eastAsia" w:asciiTheme="minorEastAsia" w:hAnsiTheme="minorEastAsia"/>
        </w:rPr>
        <w:t>指标满意度和重要性比较</w:t>
      </w:r>
      <w:r>
        <w:tab/>
      </w:r>
      <w:r>
        <w:fldChar w:fldCharType="begin"/>
      </w:r>
      <w:r>
        <w:instrText xml:space="preserve"> PAGEREF _Toc470887016 \h </w:instrText>
      </w:r>
      <w:r>
        <w:fldChar w:fldCharType="separate"/>
      </w:r>
      <w:r>
        <w:t>78</w:t>
      </w:r>
      <w:r>
        <w:fldChar w:fldCharType="end"/>
      </w:r>
      <w:r>
        <w:fldChar w:fldCharType="end"/>
      </w:r>
    </w:p>
    <w:p>
      <w:r>
        <w:fldChar w:fldCharType="end"/>
      </w:r>
      <w:r>
        <w:fldChar w:fldCharType="begin"/>
      </w:r>
      <w:r>
        <w:instrText xml:space="preserve"> TOC \h \z \c "表1-" </w:instrText>
      </w:r>
      <w:r>
        <w:fldChar w:fldCharType="separate"/>
      </w:r>
    </w:p>
    <w:p>
      <w:pPr>
        <w:pStyle w:val="17"/>
        <w:tabs>
          <w:tab w:val="right" w:leader="dot" w:pos="8296"/>
        </w:tabs>
        <w:rPr>
          <w:caps w:val="0"/>
          <w:sz w:val="21"/>
          <w:szCs w:val="22"/>
        </w:rPr>
      </w:pPr>
      <w:r>
        <w:fldChar w:fldCharType="begin"/>
      </w:r>
      <w:r>
        <w:instrText xml:space="preserve"> HYPERLINK \l "_Toc470886992" </w:instrText>
      </w:r>
      <w:r>
        <w:fldChar w:fldCharType="separate"/>
      </w:r>
      <w:r>
        <w:rPr>
          <w:rStyle w:val="21"/>
          <w:rFonts w:hint="eastAsia" w:asciiTheme="minorEastAsia" w:hAnsiTheme="minorEastAsia"/>
        </w:rPr>
        <w:t>表</w:t>
      </w:r>
      <w:r>
        <w:rPr>
          <w:rStyle w:val="21"/>
          <w:rFonts w:asciiTheme="minorEastAsia" w:hAnsiTheme="minorEastAsia"/>
        </w:rPr>
        <w:t>1-1 2016</w:t>
      </w:r>
      <w:r>
        <w:rPr>
          <w:rStyle w:val="21"/>
          <w:rFonts w:hint="eastAsia" w:asciiTheme="minorEastAsia" w:hAnsiTheme="minorEastAsia"/>
        </w:rPr>
        <w:t>届毕业生性别分布</w:t>
      </w:r>
      <w:r>
        <w:tab/>
      </w:r>
      <w:r>
        <w:fldChar w:fldCharType="begin"/>
      </w:r>
      <w:r>
        <w:instrText xml:space="preserve"> PAGEREF _Toc470886992 \h </w:instrText>
      </w:r>
      <w:r>
        <w:fldChar w:fldCharType="separate"/>
      </w:r>
      <w:r>
        <w:t>4</w:t>
      </w:r>
      <w:r>
        <w:fldChar w:fldCharType="end"/>
      </w:r>
      <w:r>
        <w:fldChar w:fldCharType="end"/>
      </w:r>
    </w:p>
    <w:p>
      <w:pPr>
        <w:pStyle w:val="17"/>
        <w:tabs>
          <w:tab w:val="right" w:leader="dot" w:pos="8296"/>
        </w:tabs>
        <w:rPr>
          <w:caps w:val="0"/>
          <w:sz w:val="21"/>
          <w:szCs w:val="22"/>
        </w:rPr>
      </w:pPr>
      <w:r>
        <w:fldChar w:fldCharType="begin"/>
      </w:r>
      <w:r>
        <w:instrText xml:space="preserve"> HYPERLINK \l "_Toc470886993" </w:instrText>
      </w:r>
      <w:r>
        <w:fldChar w:fldCharType="separate"/>
      </w:r>
      <w:r>
        <w:rPr>
          <w:rStyle w:val="21"/>
          <w:rFonts w:hint="eastAsia" w:asciiTheme="minorEastAsia" w:hAnsiTheme="minorEastAsia"/>
        </w:rPr>
        <w:t>表</w:t>
      </w:r>
      <w:r>
        <w:rPr>
          <w:rStyle w:val="21"/>
          <w:rFonts w:asciiTheme="minorEastAsia" w:hAnsiTheme="minorEastAsia"/>
        </w:rPr>
        <w:t>1-2 2016</w:t>
      </w:r>
      <w:r>
        <w:rPr>
          <w:rStyle w:val="21"/>
          <w:rFonts w:hint="eastAsia" w:asciiTheme="minorEastAsia" w:hAnsiTheme="minorEastAsia"/>
        </w:rPr>
        <w:t>届毕业生专业分布情况</w:t>
      </w:r>
      <w:r>
        <w:tab/>
      </w:r>
      <w:r>
        <w:fldChar w:fldCharType="begin"/>
      </w:r>
      <w:r>
        <w:instrText xml:space="preserve"> PAGEREF _Toc470886993 \h </w:instrText>
      </w:r>
      <w:r>
        <w:fldChar w:fldCharType="separate"/>
      </w:r>
      <w:r>
        <w:t>7</w:t>
      </w:r>
      <w:r>
        <w:fldChar w:fldCharType="end"/>
      </w:r>
      <w:r>
        <w:fldChar w:fldCharType="end"/>
      </w:r>
    </w:p>
    <w:p>
      <w:pPr>
        <w:pStyle w:val="17"/>
        <w:tabs>
          <w:tab w:val="right" w:leader="dot" w:pos="8296"/>
        </w:tabs>
        <w:rPr>
          <w:caps w:val="0"/>
          <w:sz w:val="21"/>
          <w:szCs w:val="22"/>
        </w:rPr>
      </w:pPr>
      <w:r>
        <w:fldChar w:fldCharType="begin"/>
      </w:r>
      <w:r>
        <w:instrText xml:space="preserve"> HYPERLINK \l "_Toc470886994" </w:instrText>
      </w:r>
      <w:r>
        <w:fldChar w:fldCharType="separate"/>
      </w:r>
      <w:r>
        <w:rPr>
          <w:rStyle w:val="21"/>
          <w:rFonts w:hint="eastAsia" w:asciiTheme="minorEastAsia" w:hAnsiTheme="minorEastAsia"/>
        </w:rPr>
        <w:t>表</w:t>
      </w:r>
      <w:r>
        <w:rPr>
          <w:rStyle w:val="21"/>
          <w:rFonts w:asciiTheme="minorEastAsia" w:hAnsiTheme="minorEastAsia"/>
        </w:rPr>
        <w:t>1-3 2016</w:t>
      </w:r>
      <w:r>
        <w:rPr>
          <w:rStyle w:val="21"/>
          <w:rFonts w:hint="eastAsia" w:asciiTheme="minorEastAsia" w:hAnsiTheme="minorEastAsia"/>
        </w:rPr>
        <w:t>届毕业生不同学历层次困难生分布情况</w:t>
      </w:r>
      <w:r>
        <w:tab/>
      </w:r>
      <w:r>
        <w:fldChar w:fldCharType="begin"/>
      </w:r>
      <w:r>
        <w:instrText xml:space="preserve"> PAGEREF _Toc470886994 \h </w:instrText>
      </w:r>
      <w:r>
        <w:fldChar w:fldCharType="separate"/>
      </w:r>
      <w:r>
        <w:t>9</w:t>
      </w:r>
      <w:r>
        <w:fldChar w:fldCharType="end"/>
      </w:r>
      <w:r>
        <w:fldChar w:fldCharType="end"/>
      </w:r>
    </w:p>
    <w:p>
      <w:r>
        <w:fldChar w:fldCharType="end"/>
      </w:r>
      <w:r>
        <w:fldChar w:fldCharType="begin"/>
      </w:r>
      <w:r>
        <w:instrText xml:space="preserve"> TOC \h \z \c "表2-" </w:instrText>
      </w:r>
      <w:r>
        <w:fldChar w:fldCharType="separate"/>
      </w:r>
    </w:p>
    <w:p>
      <w:pPr>
        <w:pStyle w:val="17"/>
        <w:tabs>
          <w:tab w:val="right" w:leader="dot" w:pos="8296"/>
        </w:tabs>
        <w:rPr>
          <w:caps w:val="0"/>
          <w:sz w:val="21"/>
          <w:szCs w:val="22"/>
        </w:rPr>
      </w:pPr>
      <w:r>
        <w:fldChar w:fldCharType="begin"/>
      </w:r>
      <w:r>
        <w:instrText xml:space="preserve"> HYPERLINK \l "_Toc470886986" </w:instrText>
      </w:r>
      <w:r>
        <w:fldChar w:fldCharType="separate"/>
      </w:r>
      <w:r>
        <w:rPr>
          <w:rStyle w:val="21"/>
          <w:rFonts w:hint="eastAsia" w:asciiTheme="majorEastAsia" w:hAnsiTheme="majorEastAsia" w:eastAsiaTheme="majorEastAsia"/>
        </w:rPr>
        <w:t>表</w:t>
      </w:r>
      <w:r>
        <w:rPr>
          <w:rStyle w:val="21"/>
          <w:rFonts w:asciiTheme="majorEastAsia" w:hAnsiTheme="majorEastAsia" w:eastAsiaTheme="majorEastAsia"/>
        </w:rPr>
        <w:t>2-1 2016</w:t>
      </w:r>
      <w:r>
        <w:rPr>
          <w:rStyle w:val="21"/>
          <w:rFonts w:hint="eastAsia" w:asciiTheme="majorEastAsia" w:hAnsiTheme="majorEastAsia" w:eastAsiaTheme="majorEastAsia"/>
        </w:rPr>
        <w:t>届毕业生不同学历层次初次就业率分布</w:t>
      </w:r>
      <w:r>
        <w:tab/>
      </w:r>
      <w:r>
        <w:fldChar w:fldCharType="begin"/>
      </w:r>
      <w:r>
        <w:instrText xml:space="preserve"> PAGEREF _Toc470886986 \h </w:instrText>
      </w:r>
      <w:r>
        <w:fldChar w:fldCharType="separate"/>
      </w:r>
      <w:r>
        <w:t>11</w:t>
      </w:r>
      <w:r>
        <w:fldChar w:fldCharType="end"/>
      </w:r>
      <w:r>
        <w:fldChar w:fldCharType="end"/>
      </w:r>
    </w:p>
    <w:p>
      <w:pPr>
        <w:pStyle w:val="17"/>
        <w:tabs>
          <w:tab w:val="right" w:leader="dot" w:pos="8296"/>
        </w:tabs>
        <w:rPr>
          <w:caps w:val="0"/>
          <w:sz w:val="21"/>
          <w:szCs w:val="22"/>
        </w:rPr>
      </w:pPr>
      <w:r>
        <w:fldChar w:fldCharType="begin"/>
      </w:r>
      <w:r>
        <w:instrText xml:space="preserve"> HYPERLINK \l "_Toc470886987" </w:instrText>
      </w:r>
      <w:r>
        <w:fldChar w:fldCharType="separate"/>
      </w:r>
      <w:r>
        <w:rPr>
          <w:rStyle w:val="21"/>
          <w:rFonts w:hint="eastAsia" w:asciiTheme="minorEastAsia" w:hAnsiTheme="minorEastAsia"/>
        </w:rPr>
        <w:t>表</w:t>
      </w:r>
      <w:r>
        <w:rPr>
          <w:rStyle w:val="21"/>
          <w:rFonts w:asciiTheme="minorEastAsia" w:hAnsiTheme="minorEastAsia"/>
        </w:rPr>
        <w:t>2-2 2016</w:t>
      </w:r>
      <w:r>
        <w:rPr>
          <w:rStyle w:val="21"/>
          <w:rFonts w:hint="eastAsia" w:asciiTheme="minorEastAsia" w:hAnsiTheme="minorEastAsia"/>
        </w:rPr>
        <w:t>届不同学院不同专业的就业率分布</w:t>
      </w:r>
      <w:r>
        <w:tab/>
      </w:r>
      <w:r>
        <w:fldChar w:fldCharType="begin"/>
      </w:r>
      <w:r>
        <w:instrText xml:space="preserve"> PAGEREF _Toc470886987 \h </w:instrText>
      </w:r>
      <w:r>
        <w:fldChar w:fldCharType="separate"/>
      </w:r>
      <w:r>
        <w:t>11</w:t>
      </w:r>
      <w:r>
        <w:fldChar w:fldCharType="end"/>
      </w:r>
      <w:r>
        <w:fldChar w:fldCharType="end"/>
      </w:r>
    </w:p>
    <w:p>
      <w:pPr>
        <w:pStyle w:val="17"/>
        <w:tabs>
          <w:tab w:val="right" w:leader="dot" w:pos="8296"/>
        </w:tabs>
        <w:rPr>
          <w:caps w:val="0"/>
          <w:sz w:val="21"/>
          <w:szCs w:val="22"/>
        </w:rPr>
      </w:pPr>
      <w:r>
        <w:fldChar w:fldCharType="begin"/>
      </w:r>
      <w:r>
        <w:instrText xml:space="preserve"> HYPERLINK \l "_Toc470886988" </w:instrText>
      </w:r>
      <w:r>
        <w:fldChar w:fldCharType="separate"/>
      </w:r>
      <w:r>
        <w:rPr>
          <w:rStyle w:val="21"/>
          <w:rFonts w:hint="eastAsia" w:asciiTheme="minorEastAsia" w:hAnsiTheme="minorEastAsia"/>
        </w:rPr>
        <w:t>表</w:t>
      </w:r>
      <w:r>
        <w:rPr>
          <w:rStyle w:val="21"/>
          <w:rFonts w:asciiTheme="minorEastAsia" w:hAnsiTheme="minorEastAsia"/>
        </w:rPr>
        <w:t xml:space="preserve">2-3 </w:t>
      </w:r>
      <w:r>
        <w:rPr>
          <w:rStyle w:val="21"/>
          <w:rFonts w:hint="eastAsia" w:asciiTheme="minorEastAsia" w:hAnsiTheme="minorEastAsia"/>
        </w:rPr>
        <w:t>（就业及灵活就业）毕业生生源及就业关系对比</w:t>
      </w:r>
      <w:r>
        <w:tab/>
      </w:r>
      <w:r>
        <w:fldChar w:fldCharType="begin"/>
      </w:r>
      <w:r>
        <w:instrText xml:space="preserve"> PAGEREF _Toc470886988 \h </w:instrText>
      </w:r>
      <w:r>
        <w:fldChar w:fldCharType="separate"/>
      </w:r>
      <w:r>
        <w:t>15</w:t>
      </w:r>
      <w:r>
        <w:fldChar w:fldCharType="end"/>
      </w:r>
      <w:r>
        <w:fldChar w:fldCharType="end"/>
      </w:r>
    </w:p>
    <w:p>
      <w:pPr>
        <w:pStyle w:val="17"/>
        <w:tabs>
          <w:tab w:val="right" w:leader="dot" w:pos="8296"/>
        </w:tabs>
        <w:rPr>
          <w:caps w:val="0"/>
          <w:sz w:val="21"/>
          <w:szCs w:val="22"/>
        </w:rPr>
      </w:pPr>
      <w:r>
        <w:fldChar w:fldCharType="begin"/>
      </w:r>
      <w:r>
        <w:instrText xml:space="preserve"> HYPERLINK \l "_Toc470886989" </w:instrText>
      </w:r>
      <w:r>
        <w:fldChar w:fldCharType="separate"/>
      </w:r>
      <w:r>
        <w:rPr>
          <w:rStyle w:val="21"/>
          <w:rFonts w:hint="eastAsia" w:asciiTheme="minorEastAsia" w:hAnsiTheme="minorEastAsia"/>
        </w:rPr>
        <w:t>表</w:t>
      </w:r>
      <w:r>
        <w:rPr>
          <w:rStyle w:val="21"/>
          <w:rFonts w:asciiTheme="minorEastAsia" w:hAnsiTheme="minorEastAsia"/>
        </w:rPr>
        <w:t xml:space="preserve">2-4 </w:t>
      </w:r>
      <w:r>
        <w:rPr>
          <w:rStyle w:val="21"/>
          <w:rFonts w:hint="eastAsia" w:asciiTheme="minorEastAsia" w:hAnsiTheme="minorEastAsia"/>
        </w:rPr>
        <w:t>本科毕业生出国选择学校</w:t>
      </w:r>
      <w:r>
        <w:tab/>
      </w:r>
      <w:r>
        <w:fldChar w:fldCharType="begin"/>
      </w:r>
      <w:r>
        <w:instrText xml:space="preserve"> PAGEREF _Toc470886989 \h </w:instrText>
      </w:r>
      <w:r>
        <w:fldChar w:fldCharType="separate"/>
      </w:r>
      <w:r>
        <w:t>23</w:t>
      </w:r>
      <w:r>
        <w:fldChar w:fldCharType="end"/>
      </w:r>
      <w:r>
        <w:fldChar w:fldCharType="end"/>
      </w:r>
    </w:p>
    <w:p>
      <w:r>
        <w:fldChar w:fldCharType="end"/>
      </w:r>
      <w:r>
        <w:fldChar w:fldCharType="begin"/>
      </w:r>
      <w:r>
        <w:instrText xml:space="preserve"> TOC \h \z \c "表3-" </w:instrText>
      </w:r>
      <w:r>
        <w:fldChar w:fldCharType="separate"/>
      </w:r>
    </w:p>
    <w:p>
      <w:pPr>
        <w:pStyle w:val="17"/>
        <w:tabs>
          <w:tab w:val="right" w:leader="dot" w:pos="8296"/>
        </w:tabs>
        <w:rPr>
          <w:caps w:val="0"/>
          <w:sz w:val="21"/>
          <w:szCs w:val="22"/>
        </w:rPr>
      </w:pPr>
      <w:r>
        <w:fldChar w:fldCharType="begin"/>
      </w:r>
      <w:r>
        <w:instrText xml:space="preserve"> HYPERLINK \l "_Toc470886978" </w:instrText>
      </w:r>
      <w:r>
        <w:fldChar w:fldCharType="separate"/>
      </w:r>
      <w:r>
        <w:rPr>
          <w:rStyle w:val="21"/>
          <w:rFonts w:hint="eastAsia" w:asciiTheme="minorEastAsia" w:hAnsiTheme="minorEastAsia"/>
        </w:rPr>
        <w:t>表</w:t>
      </w:r>
      <w:r>
        <w:rPr>
          <w:rStyle w:val="21"/>
          <w:rFonts w:asciiTheme="minorEastAsia" w:hAnsiTheme="minorEastAsia"/>
        </w:rPr>
        <w:t xml:space="preserve">3-1 </w:t>
      </w:r>
      <w:r>
        <w:rPr>
          <w:rStyle w:val="21"/>
          <w:rFonts w:hint="eastAsia" w:asciiTheme="minorEastAsia" w:hAnsiTheme="minorEastAsia"/>
        </w:rPr>
        <w:t>本科生不同专业薪资水平</w:t>
      </w:r>
      <w:r>
        <w:tab/>
      </w:r>
      <w:r>
        <w:fldChar w:fldCharType="begin"/>
      </w:r>
      <w:r>
        <w:instrText xml:space="preserve"> PAGEREF _Toc470886978 \h </w:instrText>
      </w:r>
      <w:r>
        <w:fldChar w:fldCharType="separate"/>
      </w:r>
      <w:r>
        <w:t>29</w:t>
      </w:r>
      <w:r>
        <w:fldChar w:fldCharType="end"/>
      </w:r>
      <w:r>
        <w:fldChar w:fldCharType="end"/>
      </w:r>
    </w:p>
    <w:p>
      <w:pPr>
        <w:pStyle w:val="17"/>
        <w:tabs>
          <w:tab w:val="right" w:leader="dot" w:pos="8296"/>
        </w:tabs>
        <w:rPr>
          <w:caps w:val="0"/>
          <w:sz w:val="21"/>
          <w:szCs w:val="22"/>
        </w:rPr>
      </w:pPr>
      <w:r>
        <w:fldChar w:fldCharType="begin"/>
      </w:r>
      <w:r>
        <w:instrText xml:space="preserve"> HYPERLINK \l "_Toc470886979" </w:instrText>
      </w:r>
      <w:r>
        <w:fldChar w:fldCharType="separate"/>
      </w:r>
      <w:r>
        <w:rPr>
          <w:rStyle w:val="21"/>
          <w:rFonts w:hint="eastAsia" w:asciiTheme="minorEastAsia" w:hAnsiTheme="minorEastAsia"/>
        </w:rPr>
        <w:t>表</w:t>
      </w:r>
      <w:r>
        <w:rPr>
          <w:rStyle w:val="21"/>
          <w:rFonts w:asciiTheme="minorEastAsia" w:hAnsiTheme="minorEastAsia"/>
        </w:rPr>
        <w:t xml:space="preserve">3-2 </w:t>
      </w:r>
      <w:r>
        <w:rPr>
          <w:rStyle w:val="21"/>
          <w:rFonts w:hint="eastAsia" w:asciiTheme="minorEastAsia" w:hAnsiTheme="minorEastAsia"/>
        </w:rPr>
        <w:t>专科生不同专业薪资水平</w:t>
      </w:r>
      <w:r>
        <w:tab/>
      </w:r>
      <w:r>
        <w:fldChar w:fldCharType="begin"/>
      </w:r>
      <w:r>
        <w:instrText xml:space="preserve"> PAGEREF _Toc470886979 \h </w:instrText>
      </w:r>
      <w:r>
        <w:fldChar w:fldCharType="separate"/>
      </w:r>
      <w:r>
        <w:t>30</w:t>
      </w:r>
      <w:r>
        <w:fldChar w:fldCharType="end"/>
      </w:r>
      <w:r>
        <w:fldChar w:fldCharType="end"/>
      </w:r>
    </w:p>
    <w:p>
      <w:pPr>
        <w:pStyle w:val="17"/>
        <w:tabs>
          <w:tab w:val="right" w:leader="dot" w:pos="8296"/>
        </w:tabs>
        <w:rPr>
          <w:caps w:val="0"/>
          <w:sz w:val="21"/>
          <w:szCs w:val="22"/>
        </w:rPr>
      </w:pPr>
      <w:r>
        <w:fldChar w:fldCharType="begin"/>
      </w:r>
      <w:r>
        <w:instrText xml:space="preserve"> HYPERLINK \l "_Toc470886980" </w:instrText>
      </w:r>
      <w:r>
        <w:fldChar w:fldCharType="separate"/>
      </w:r>
      <w:r>
        <w:rPr>
          <w:rStyle w:val="21"/>
          <w:rFonts w:hint="eastAsia" w:asciiTheme="minorEastAsia" w:hAnsiTheme="minorEastAsia"/>
        </w:rPr>
        <w:t>表</w:t>
      </w:r>
      <w:r>
        <w:rPr>
          <w:rStyle w:val="21"/>
          <w:rFonts w:asciiTheme="minorEastAsia" w:hAnsiTheme="minorEastAsia"/>
        </w:rPr>
        <w:t xml:space="preserve">3-3 </w:t>
      </w:r>
      <w:r>
        <w:rPr>
          <w:rStyle w:val="21"/>
          <w:rFonts w:hint="eastAsia" w:asciiTheme="minorEastAsia" w:hAnsiTheme="minorEastAsia"/>
        </w:rPr>
        <w:t>评估使用数据说明</w:t>
      </w:r>
      <w:r>
        <w:tab/>
      </w:r>
      <w:r>
        <w:fldChar w:fldCharType="begin"/>
      </w:r>
      <w:r>
        <w:instrText xml:space="preserve"> PAGEREF _Toc470886980 \h </w:instrText>
      </w:r>
      <w:r>
        <w:fldChar w:fldCharType="separate"/>
      </w:r>
      <w:r>
        <w:t>35</w:t>
      </w:r>
      <w:r>
        <w:fldChar w:fldCharType="end"/>
      </w:r>
      <w:r>
        <w:fldChar w:fldCharType="end"/>
      </w:r>
    </w:p>
    <w:p>
      <w:pPr>
        <w:pStyle w:val="17"/>
        <w:tabs>
          <w:tab w:val="right" w:leader="dot" w:pos="8296"/>
        </w:tabs>
        <w:rPr>
          <w:caps w:val="0"/>
          <w:sz w:val="21"/>
          <w:szCs w:val="22"/>
        </w:rPr>
      </w:pPr>
      <w:r>
        <w:fldChar w:fldCharType="begin"/>
      </w:r>
      <w:r>
        <w:instrText xml:space="preserve"> HYPERLINK \l "_Toc470886981" </w:instrText>
      </w:r>
      <w:r>
        <w:fldChar w:fldCharType="separate"/>
      </w:r>
      <w:r>
        <w:rPr>
          <w:rStyle w:val="21"/>
          <w:rFonts w:hint="eastAsia" w:asciiTheme="minorEastAsia" w:hAnsiTheme="minorEastAsia"/>
        </w:rPr>
        <w:t>表</w:t>
      </w:r>
      <w:r>
        <w:rPr>
          <w:rStyle w:val="21"/>
          <w:rFonts w:asciiTheme="minorEastAsia" w:hAnsiTheme="minorEastAsia"/>
        </w:rPr>
        <w:t xml:space="preserve">3-4 </w:t>
      </w:r>
      <w:r>
        <w:rPr>
          <w:rStyle w:val="21"/>
          <w:rFonts w:hint="eastAsia" w:cs="宋体" w:asciiTheme="minorEastAsia" w:hAnsiTheme="minorEastAsia"/>
          <w:bCs/>
          <w:kern w:val="0"/>
        </w:rPr>
        <w:t>评估流程表</w:t>
      </w:r>
      <w:r>
        <w:tab/>
      </w:r>
      <w:r>
        <w:fldChar w:fldCharType="begin"/>
      </w:r>
      <w:r>
        <w:instrText xml:space="preserve"> PAGEREF _Toc470886981 \h </w:instrText>
      </w:r>
      <w:r>
        <w:fldChar w:fldCharType="separate"/>
      </w:r>
      <w:r>
        <w:t>36</w:t>
      </w:r>
      <w:r>
        <w:fldChar w:fldCharType="end"/>
      </w:r>
      <w:r>
        <w:fldChar w:fldCharType="end"/>
      </w:r>
    </w:p>
    <w:p>
      <w:pPr>
        <w:pStyle w:val="17"/>
        <w:tabs>
          <w:tab w:val="right" w:leader="dot" w:pos="8296"/>
        </w:tabs>
        <w:rPr>
          <w:caps w:val="0"/>
          <w:sz w:val="21"/>
          <w:szCs w:val="22"/>
        </w:rPr>
      </w:pPr>
      <w:r>
        <w:fldChar w:fldCharType="begin"/>
      </w:r>
      <w:r>
        <w:instrText xml:space="preserve"> HYPERLINK \l "_Toc470886982" </w:instrText>
      </w:r>
      <w:r>
        <w:fldChar w:fldCharType="separate"/>
      </w:r>
      <w:r>
        <w:rPr>
          <w:rStyle w:val="21"/>
          <w:rFonts w:hint="eastAsia" w:asciiTheme="minorEastAsia" w:hAnsiTheme="minorEastAsia"/>
        </w:rPr>
        <w:t>表</w:t>
      </w:r>
      <w:r>
        <w:rPr>
          <w:rStyle w:val="21"/>
          <w:rFonts w:asciiTheme="minorEastAsia" w:hAnsiTheme="minorEastAsia"/>
        </w:rPr>
        <w:t xml:space="preserve">3-5 </w:t>
      </w:r>
      <w:r>
        <w:rPr>
          <w:rStyle w:val="21"/>
          <w:rFonts w:hint="eastAsia" w:asciiTheme="minorEastAsia" w:hAnsiTheme="minorEastAsia"/>
        </w:rPr>
        <w:t>未就业毕业生求职关注因素</w:t>
      </w:r>
      <w:r>
        <w:tab/>
      </w:r>
      <w:r>
        <w:fldChar w:fldCharType="begin"/>
      </w:r>
      <w:r>
        <w:instrText xml:space="preserve"> PAGEREF _Toc470886982 \h </w:instrText>
      </w:r>
      <w:r>
        <w:fldChar w:fldCharType="separate"/>
      </w:r>
      <w:r>
        <w:t>44</w:t>
      </w:r>
      <w:r>
        <w:fldChar w:fldCharType="end"/>
      </w:r>
      <w:r>
        <w:fldChar w:fldCharType="end"/>
      </w:r>
    </w:p>
    <w:p>
      <w:r>
        <w:fldChar w:fldCharType="end"/>
      </w:r>
      <w:r>
        <w:fldChar w:fldCharType="begin"/>
      </w:r>
      <w:r>
        <w:instrText xml:space="preserve"> TOC \h \z \c "表4-" </w:instrText>
      </w:r>
      <w:r>
        <w:fldChar w:fldCharType="separate"/>
      </w:r>
    </w:p>
    <w:p>
      <w:pPr>
        <w:pStyle w:val="17"/>
        <w:tabs>
          <w:tab w:val="right" w:leader="dot" w:pos="8296"/>
        </w:tabs>
        <w:rPr>
          <w:caps w:val="0"/>
          <w:sz w:val="21"/>
          <w:szCs w:val="22"/>
        </w:rPr>
      </w:pPr>
      <w:r>
        <w:fldChar w:fldCharType="begin"/>
      </w:r>
      <w:r>
        <w:instrText xml:space="preserve"> HYPERLINK \l "_Toc470886963" </w:instrText>
      </w:r>
      <w:r>
        <w:fldChar w:fldCharType="separate"/>
      </w:r>
      <w:r>
        <w:rPr>
          <w:rStyle w:val="21"/>
          <w:rFonts w:hint="eastAsia" w:asciiTheme="minorEastAsia" w:hAnsiTheme="minorEastAsia"/>
        </w:rPr>
        <w:t>表</w:t>
      </w:r>
      <w:r>
        <w:rPr>
          <w:rStyle w:val="21"/>
          <w:rFonts w:asciiTheme="minorEastAsia" w:hAnsiTheme="minorEastAsia"/>
        </w:rPr>
        <w:t>4-1 2013-2016</w:t>
      </w:r>
      <w:r>
        <w:rPr>
          <w:rStyle w:val="21"/>
          <w:rFonts w:hint="eastAsia" w:asciiTheme="minorEastAsia" w:hAnsiTheme="minorEastAsia"/>
        </w:rPr>
        <w:t>届各学院就业率发展趋势分布</w:t>
      </w:r>
      <w:r>
        <w:tab/>
      </w:r>
      <w:r>
        <w:fldChar w:fldCharType="begin"/>
      </w:r>
      <w:r>
        <w:instrText xml:space="preserve"> PAGEREF _Toc470886963 \h </w:instrText>
      </w:r>
      <w:r>
        <w:fldChar w:fldCharType="separate"/>
      </w:r>
      <w:r>
        <w:t>50</w:t>
      </w:r>
      <w:r>
        <w:fldChar w:fldCharType="end"/>
      </w:r>
      <w:r>
        <w:fldChar w:fldCharType="end"/>
      </w:r>
    </w:p>
    <w:p>
      <w:pPr>
        <w:pStyle w:val="17"/>
        <w:tabs>
          <w:tab w:val="right" w:leader="dot" w:pos="8296"/>
        </w:tabs>
        <w:rPr>
          <w:caps w:val="0"/>
          <w:sz w:val="21"/>
          <w:szCs w:val="22"/>
        </w:rPr>
      </w:pPr>
      <w:r>
        <w:fldChar w:fldCharType="begin"/>
      </w:r>
      <w:r>
        <w:instrText xml:space="preserve"> HYPERLINK \l "_Toc470886964" </w:instrText>
      </w:r>
      <w:r>
        <w:fldChar w:fldCharType="separate"/>
      </w:r>
      <w:r>
        <w:rPr>
          <w:rStyle w:val="21"/>
          <w:rFonts w:hint="eastAsia" w:asciiTheme="minorEastAsia" w:hAnsiTheme="minorEastAsia"/>
        </w:rPr>
        <w:t>表</w:t>
      </w:r>
      <w:r>
        <w:rPr>
          <w:rStyle w:val="21"/>
          <w:rFonts w:asciiTheme="minorEastAsia" w:hAnsiTheme="minorEastAsia"/>
        </w:rPr>
        <w:t xml:space="preserve">4-2 </w:t>
      </w:r>
      <w:r>
        <w:rPr>
          <w:rStyle w:val="21"/>
          <w:rFonts w:cs="宋体" w:asciiTheme="minorEastAsia" w:hAnsiTheme="minorEastAsia"/>
        </w:rPr>
        <w:t>2013-2016</w:t>
      </w:r>
      <w:r>
        <w:rPr>
          <w:rStyle w:val="21"/>
          <w:rFonts w:hint="eastAsia" w:cs="宋体" w:asciiTheme="minorEastAsia" w:hAnsiTheme="minorEastAsia"/>
        </w:rPr>
        <w:t>届就业率趋势</w:t>
      </w:r>
      <w:r>
        <w:tab/>
      </w:r>
      <w:r>
        <w:fldChar w:fldCharType="begin"/>
      </w:r>
      <w:r>
        <w:instrText xml:space="preserve"> PAGEREF _Toc470886964 \h </w:instrText>
      </w:r>
      <w:r>
        <w:fldChar w:fldCharType="separate"/>
      </w:r>
      <w:r>
        <w:t>50</w:t>
      </w:r>
      <w:r>
        <w:fldChar w:fldCharType="end"/>
      </w:r>
      <w:r>
        <w:fldChar w:fldCharType="end"/>
      </w:r>
    </w:p>
    <w:p>
      <w:r>
        <w:fldChar w:fldCharType="end"/>
      </w:r>
      <w:r>
        <w:fldChar w:fldCharType="begin"/>
      </w:r>
      <w:r>
        <w:instrText xml:space="preserve"> TOC \h \z \c "表6-" </w:instrText>
      </w:r>
      <w:r>
        <w:fldChar w:fldCharType="separate"/>
      </w:r>
    </w:p>
    <w:p>
      <w:pPr>
        <w:pStyle w:val="17"/>
        <w:tabs>
          <w:tab w:val="right" w:leader="dot" w:pos="8296"/>
        </w:tabs>
        <w:rPr>
          <w:caps w:val="0"/>
          <w:sz w:val="21"/>
          <w:szCs w:val="22"/>
        </w:rPr>
      </w:pPr>
      <w:r>
        <w:fldChar w:fldCharType="begin"/>
      </w:r>
      <w:r>
        <w:instrText xml:space="preserve"> HYPERLINK \l "_Toc470886952" </w:instrText>
      </w:r>
      <w:r>
        <w:fldChar w:fldCharType="separate"/>
      </w:r>
      <w:r>
        <w:rPr>
          <w:rStyle w:val="21"/>
          <w:rFonts w:hint="eastAsia" w:asciiTheme="majorEastAsia" w:hAnsiTheme="majorEastAsia" w:eastAsiaTheme="majorEastAsia"/>
        </w:rPr>
        <w:t>表</w:t>
      </w:r>
      <w:r>
        <w:rPr>
          <w:rStyle w:val="21"/>
          <w:rFonts w:asciiTheme="majorEastAsia" w:hAnsiTheme="majorEastAsia" w:eastAsiaTheme="majorEastAsia"/>
        </w:rPr>
        <w:t xml:space="preserve">6-1 </w:t>
      </w:r>
      <w:r>
        <w:rPr>
          <w:rStyle w:val="21"/>
          <w:rFonts w:hint="eastAsia" w:asciiTheme="majorEastAsia" w:hAnsiTheme="majorEastAsia" w:eastAsiaTheme="majorEastAsia"/>
        </w:rPr>
        <w:t>毕业生对母校教学方面的满意度</w:t>
      </w:r>
      <w:r>
        <w:tab/>
      </w:r>
      <w:r>
        <w:fldChar w:fldCharType="begin"/>
      </w:r>
      <w:r>
        <w:instrText xml:space="preserve"> PAGEREF _Toc470886952 \h </w:instrText>
      </w:r>
      <w:r>
        <w:fldChar w:fldCharType="separate"/>
      </w:r>
      <w:r>
        <w:t>57</w:t>
      </w:r>
      <w:r>
        <w:fldChar w:fldCharType="end"/>
      </w:r>
      <w:r>
        <w:fldChar w:fldCharType="end"/>
      </w:r>
    </w:p>
    <w:p>
      <w:pPr>
        <w:pStyle w:val="17"/>
        <w:tabs>
          <w:tab w:val="right" w:leader="dot" w:pos="8296"/>
        </w:tabs>
        <w:rPr>
          <w:caps w:val="0"/>
          <w:sz w:val="21"/>
          <w:szCs w:val="22"/>
        </w:rPr>
      </w:pPr>
      <w:r>
        <w:fldChar w:fldCharType="begin"/>
      </w:r>
      <w:r>
        <w:instrText xml:space="preserve"> HYPERLINK \l "_Toc470886953" </w:instrText>
      </w:r>
      <w:r>
        <w:fldChar w:fldCharType="separate"/>
      </w:r>
      <w:r>
        <w:rPr>
          <w:rStyle w:val="21"/>
          <w:rFonts w:hint="eastAsia" w:asciiTheme="minorEastAsia" w:hAnsiTheme="minorEastAsia"/>
        </w:rPr>
        <w:t>表</w:t>
      </w:r>
      <w:r>
        <w:rPr>
          <w:rStyle w:val="21"/>
          <w:rFonts w:asciiTheme="minorEastAsia" w:hAnsiTheme="minorEastAsia"/>
        </w:rPr>
        <w:t xml:space="preserve">6-2 </w:t>
      </w:r>
      <w:r>
        <w:rPr>
          <w:rStyle w:val="21"/>
          <w:rFonts w:hint="eastAsia" w:asciiTheme="minorEastAsia" w:hAnsiTheme="minorEastAsia"/>
        </w:rPr>
        <w:t>分专业毕业生对母校教学方面的满意度</w:t>
      </w:r>
      <w:r>
        <w:tab/>
      </w:r>
      <w:r>
        <w:fldChar w:fldCharType="begin"/>
      </w:r>
      <w:r>
        <w:instrText xml:space="preserve"> PAGEREF _Toc470886953 \h </w:instrText>
      </w:r>
      <w:r>
        <w:fldChar w:fldCharType="separate"/>
      </w:r>
      <w:r>
        <w:t>57</w:t>
      </w:r>
      <w:r>
        <w:fldChar w:fldCharType="end"/>
      </w:r>
      <w:r>
        <w:fldChar w:fldCharType="end"/>
      </w:r>
    </w:p>
    <w:p>
      <w:pPr>
        <w:pStyle w:val="17"/>
        <w:tabs>
          <w:tab w:val="right" w:leader="dot" w:pos="8296"/>
        </w:tabs>
        <w:rPr>
          <w:caps w:val="0"/>
          <w:sz w:val="21"/>
          <w:szCs w:val="22"/>
        </w:rPr>
      </w:pPr>
      <w:r>
        <w:fldChar w:fldCharType="begin"/>
      </w:r>
      <w:r>
        <w:instrText xml:space="preserve"> HYPERLINK \l "_Toc470886954" </w:instrText>
      </w:r>
      <w:r>
        <w:fldChar w:fldCharType="separate"/>
      </w:r>
      <w:r>
        <w:rPr>
          <w:rStyle w:val="21"/>
          <w:rFonts w:hint="eastAsia" w:asciiTheme="minorEastAsia" w:hAnsiTheme="minorEastAsia"/>
        </w:rPr>
        <w:t>表</w:t>
      </w:r>
      <w:r>
        <w:rPr>
          <w:rStyle w:val="21"/>
          <w:rFonts w:asciiTheme="minorEastAsia" w:hAnsiTheme="minorEastAsia"/>
        </w:rPr>
        <w:t xml:space="preserve">6-3 </w:t>
      </w:r>
      <w:r>
        <w:rPr>
          <w:rStyle w:val="21"/>
          <w:rFonts w:hint="eastAsia" w:asciiTheme="minorEastAsia" w:hAnsiTheme="minorEastAsia"/>
        </w:rPr>
        <w:t>变异系数</w:t>
      </w:r>
      <w:r>
        <w:tab/>
      </w:r>
      <w:r>
        <w:fldChar w:fldCharType="begin"/>
      </w:r>
      <w:r>
        <w:instrText xml:space="preserve"> PAGEREF _Toc470886954 \h </w:instrText>
      </w:r>
      <w:r>
        <w:fldChar w:fldCharType="separate"/>
      </w:r>
      <w:r>
        <w:t>62</w:t>
      </w:r>
      <w:r>
        <w:fldChar w:fldCharType="end"/>
      </w:r>
      <w:r>
        <w:fldChar w:fldCharType="end"/>
      </w:r>
    </w:p>
    <w:p>
      <w:pPr>
        <w:pStyle w:val="17"/>
        <w:tabs>
          <w:tab w:val="right" w:leader="dot" w:pos="8296"/>
        </w:tabs>
        <w:rPr>
          <w:caps w:val="0"/>
          <w:sz w:val="21"/>
          <w:szCs w:val="22"/>
        </w:rPr>
      </w:pPr>
      <w:r>
        <w:fldChar w:fldCharType="begin"/>
      </w:r>
      <w:r>
        <w:instrText xml:space="preserve"> HYPERLINK \l "_Toc470886955" </w:instrText>
      </w:r>
      <w:r>
        <w:fldChar w:fldCharType="separate"/>
      </w:r>
      <w:r>
        <w:rPr>
          <w:rStyle w:val="21"/>
          <w:rFonts w:hint="eastAsia" w:asciiTheme="minorEastAsia" w:hAnsiTheme="minorEastAsia"/>
        </w:rPr>
        <w:t>表</w:t>
      </w:r>
      <w:r>
        <w:rPr>
          <w:rStyle w:val="21"/>
          <w:rFonts w:asciiTheme="minorEastAsia" w:hAnsiTheme="minorEastAsia"/>
        </w:rPr>
        <w:t xml:space="preserve">6-4 </w:t>
      </w:r>
      <w:r>
        <w:rPr>
          <w:rStyle w:val="21"/>
          <w:rFonts w:hint="eastAsia" w:asciiTheme="minorEastAsia" w:hAnsiTheme="minorEastAsia"/>
        </w:rPr>
        <w:t>用人单位认为毕业生的岗位适应时间</w:t>
      </w:r>
      <w:r>
        <w:tab/>
      </w:r>
      <w:r>
        <w:fldChar w:fldCharType="begin"/>
      </w:r>
      <w:r>
        <w:instrText xml:space="preserve"> PAGEREF _Toc470886955 \h </w:instrText>
      </w:r>
      <w:r>
        <w:fldChar w:fldCharType="separate"/>
      </w:r>
      <w:r>
        <w:t>69</w:t>
      </w:r>
      <w:r>
        <w:fldChar w:fldCharType="end"/>
      </w:r>
      <w:r>
        <w:fldChar w:fldCharType="end"/>
      </w:r>
    </w:p>
    <w:p>
      <w:pPr>
        <w:pStyle w:val="17"/>
        <w:tabs>
          <w:tab w:val="right" w:leader="dot" w:pos="8296"/>
        </w:tabs>
        <w:rPr>
          <w:caps w:val="0"/>
          <w:sz w:val="21"/>
          <w:szCs w:val="22"/>
        </w:rPr>
      </w:pPr>
      <w:r>
        <w:fldChar w:fldCharType="begin"/>
      </w:r>
      <w:r>
        <w:instrText xml:space="preserve"> HYPERLINK \l "_Toc470886956" </w:instrText>
      </w:r>
      <w:r>
        <w:fldChar w:fldCharType="separate"/>
      </w:r>
      <w:r>
        <w:rPr>
          <w:rStyle w:val="21"/>
          <w:rFonts w:hint="eastAsia" w:asciiTheme="minorEastAsia" w:hAnsiTheme="minorEastAsia"/>
        </w:rPr>
        <w:t>表</w:t>
      </w:r>
      <w:r>
        <w:rPr>
          <w:rStyle w:val="21"/>
          <w:rFonts w:asciiTheme="minorEastAsia" w:hAnsiTheme="minorEastAsia"/>
        </w:rPr>
        <w:t xml:space="preserve">6-5 </w:t>
      </w:r>
      <w:r>
        <w:rPr>
          <w:rStyle w:val="21"/>
          <w:rFonts w:hint="eastAsia" w:asciiTheme="minorEastAsia" w:hAnsiTheme="minorEastAsia"/>
        </w:rPr>
        <w:t>用人单位对毕业生能力的评价</w:t>
      </w:r>
      <w:r>
        <w:tab/>
      </w:r>
      <w:r>
        <w:fldChar w:fldCharType="begin"/>
      </w:r>
      <w:r>
        <w:instrText xml:space="preserve"> PAGEREF _Toc470886956 \h </w:instrText>
      </w:r>
      <w:r>
        <w:fldChar w:fldCharType="separate"/>
      </w:r>
      <w:r>
        <w:t>70</w:t>
      </w:r>
      <w:r>
        <w:fldChar w:fldCharType="end"/>
      </w:r>
      <w:r>
        <w:fldChar w:fldCharType="end"/>
      </w:r>
    </w:p>
    <w:p>
      <w:pPr>
        <w:pStyle w:val="17"/>
        <w:tabs>
          <w:tab w:val="right" w:leader="dot" w:pos="8296"/>
        </w:tabs>
        <w:rPr>
          <w:caps w:val="0"/>
          <w:sz w:val="21"/>
          <w:szCs w:val="22"/>
        </w:rPr>
      </w:pPr>
      <w:r>
        <w:fldChar w:fldCharType="begin"/>
      </w:r>
      <w:r>
        <w:instrText xml:space="preserve"> HYPERLINK \l "_Toc470886957" </w:instrText>
      </w:r>
      <w:r>
        <w:fldChar w:fldCharType="separate"/>
      </w:r>
      <w:r>
        <w:rPr>
          <w:rStyle w:val="21"/>
          <w:rFonts w:hint="eastAsia" w:asciiTheme="minorEastAsia" w:hAnsiTheme="minorEastAsia"/>
        </w:rPr>
        <w:t>表</w:t>
      </w:r>
      <w:r>
        <w:rPr>
          <w:rStyle w:val="21"/>
          <w:rFonts w:asciiTheme="minorEastAsia" w:hAnsiTheme="minorEastAsia"/>
        </w:rPr>
        <w:t xml:space="preserve">6-6 </w:t>
      </w:r>
      <w:r>
        <w:rPr>
          <w:rStyle w:val="21"/>
          <w:rFonts w:hint="eastAsia" w:asciiTheme="minorEastAsia" w:hAnsiTheme="minorEastAsia"/>
        </w:rPr>
        <w:t>用人单位对学校就业服务的评价</w:t>
      </w:r>
      <w:r>
        <w:tab/>
      </w:r>
      <w:r>
        <w:fldChar w:fldCharType="begin"/>
      </w:r>
      <w:r>
        <w:instrText xml:space="preserve"> PAGEREF _Toc470886957 \h </w:instrText>
      </w:r>
      <w:r>
        <w:fldChar w:fldCharType="separate"/>
      </w:r>
      <w:r>
        <w:t>71</w:t>
      </w:r>
      <w:r>
        <w:fldChar w:fldCharType="end"/>
      </w:r>
      <w:r>
        <w:fldChar w:fldCharType="end"/>
      </w:r>
    </w:p>
    <w:p>
      <w:pPr>
        <w:pStyle w:val="17"/>
        <w:tabs>
          <w:tab w:val="right" w:leader="dot" w:pos="8296"/>
        </w:tabs>
        <w:rPr>
          <w:caps w:val="0"/>
          <w:sz w:val="21"/>
          <w:szCs w:val="22"/>
        </w:rPr>
      </w:pPr>
      <w:r>
        <w:fldChar w:fldCharType="begin"/>
      </w:r>
      <w:r>
        <w:instrText xml:space="preserve"> HYPERLINK \l "_Toc470886958" </w:instrText>
      </w:r>
      <w:r>
        <w:fldChar w:fldCharType="separate"/>
      </w:r>
      <w:r>
        <w:rPr>
          <w:rStyle w:val="21"/>
          <w:rFonts w:hint="eastAsia" w:asciiTheme="minorEastAsia" w:hAnsiTheme="minorEastAsia"/>
        </w:rPr>
        <w:t>表</w:t>
      </w:r>
      <w:r>
        <w:rPr>
          <w:rStyle w:val="21"/>
          <w:rFonts w:asciiTheme="minorEastAsia" w:hAnsiTheme="minorEastAsia"/>
        </w:rPr>
        <w:t xml:space="preserve">6-7 </w:t>
      </w:r>
      <w:r>
        <w:rPr>
          <w:rStyle w:val="21"/>
          <w:rFonts w:hint="eastAsia" w:cs="宋体" w:asciiTheme="minorEastAsia" w:hAnsiTheme="minorEastAsia"/>
          <w:kern w:val="0"/>
        </w:rPr>
        <w:t>用人单位对毕业生和学校满意度评价指标</w:t>
      </w:r>
      <w:r>
        <w:tab/>
      </w:r>
      <w:r>
        <w:fldChar w:fldCharType="begin"/>
      </w:r>
      <w:r>
        <w:instrText xml:space="preserve"> PAGEREF _Toc470886958 \h </w:instrText>
      </w:r>
      <w:r>
        <w:fldChar w:fldCharType="separate"/>
      </w:r>
      <w:r>
        <w:t>73</w:t>
      </w:r>
      <w:r>
        <w:fldChar w:fldCharType="end"/>
      </w:r>
      <w:r>
        <w:fldChar w:fldCharType="end"/>
      </w:r>
    </w:p>
    <w:p>
      <w:pPr>
        <w:pStyle w:val="17"/>
        <w:tabs>
          <w:tab w:val="right" w:leader="dot" w:pos="8296"/>
        </w:tabs>
        <w:rPr>
          <w:caps w:val="0"/>
          <w:sz w:val="21"/>
          <w:szCs w:val="22"/>
        </w:rPr>
      </w:pPr>
      <w:r>
        <w:fldChar w:fldCharType="begin"/>
      </w:r>
      <w:r>
        <w:instrText xml:space="preserve"> HYPERLINK \l "_Toc470886959" </w:instrText>
      </w:r>
      <w:r>
        <w:fldChar w:fldCharType="separate"/>
      </w:r>
      <w:r>
        <w:rPr>
          <w:rStyle w:val="21"/>
          <w:rFonts w:hint="eastAsia" w:asciiTheme="minorEastAsia" w:hAnsiTheme="minorEastAsia"/>
        </w:rPr>
        <w:t>表</w:t>
      </w:r>
      <w:r>
        <w:rPr>
          <w:rStyle w:val="21"/>
          <w:rFonts w:asciiTheme="minorEastAsia" w:hAnsiTheme="minorEastAsia"/>
        </w:rPr>
        <w:t xml:space="preserve">6-8 </w:t>
      </w:r>
      <w:r>
        <w:rPr>
          <w:rStyle w:val="21"/>
          <w:rFonts w:hint="eastAsia" w:cs="Times New Roman" w:asciiTheme="minorEastAsia" w:hAnsiTheme="minorEastAsia"/>
          <w:kern w:val="0"/>
        </w:rPr>
        <w:t>可靠性统计</w:t>
      </w:r>
      <w:r>
        <w:tab/>
      </w:r>
      <w:r>
        <w:fldChar w:fldCharType="begin"/>
      </w:r>
      <w:r>
        <w:instrText xml:space="preserve"> PAGEREF _Toc470886959 \h </w:instrText>
      </w:r>
      <w:r>
        <w:fldChar w:fldCharType="separate"/>
      </w:r>
      <w:r>
        <w:t>74</w:t>
      </w:r>
      <w:r>
        <w:fldChar w:fldCharType="end"/>
      </w:r>
      <w:r>
        <w:fldChar w:fldCharType="end"/>
      </w:r>
    </w:p>
    <w:p>
      <w:pPr>
        <w:pStyle w:val="17"/>
        <w:tabs>
          <w:tab w:val="right" w:leader="dot" w:pos="8296"/>
        </w:tabs>
        <w:rPr>
          <w:caps w:val="0"/>
          <w:sz w:val="21"/>
          <w:szCs w:val="22"/>
        </w:rPr>
      </w:pPr>
      <w:r>
        <w:fldChar w:fldCharType="begin"/>
      </w:r>
      <w:r>
        <w:instrText xml:space="preserve"> HYPERLINK \l "_Toc470886960" </w:instrText>
      </w:r>
      <w:r>
        <w:fldChar w:fldCharType="separate"/>
      </w:r>
      <w:r>
        <w:rPr>
          <w:rStyle w:val="21"/>
          <w:rFonts w:hint="eastAsia" w:asciiTheme="minorEastAsia" w:hAnsiTheme="minorEastAsia"/>
        </w:rPr>
        <w:t>表</w:t>
      </w:r>
      <w:r>
        <w:rPr>
          <w:rStyle w:val="21"/>
          <w:rFonts w:asciiTheme="minorEastAsia" w:hAnsiTheme="minorEastAsia"/>
        </w:rPr>
        <w:t xml:space="preserve">6-9 </w:t>
      </w:r>
      <w:r>
        <w:rPr>
          <w:rStyle w:val="21"/>
          <w:rFonts w:cs="MingLiU" w:asciiTheme="minorEastAsia" w:hAnsiTheme="minorEastAsia"/>
          <w:bCs/>
          <w:kern w:val="0"/>
        </w:rPr>
        <w:t xml:space="preserve">KMO </w:t>
      </w:r>
      <w:r>
        <w:rPr>
          <w:rStyle w:val="21"/>
          <w:rFonts w:hint="eastAsia" w:cs="MingLiU" w:asciiTheme="minorEastAsia" w:hAnsiTheme="minorEastAsia"/>
          <w:bCs/>
          <w:kern w:val="0"/>
        </w:rPr>
        <w:t>和</w:t>
      </w:r>
      <w:r>
        <w:rPr>
          <w:rStyle w:val="21"/>
          <w:rFonts w:cs="MingLiU" w:asciiTheme="minorEastAsia" w:hAnsiTheme="minorEastAsia"/>
          <w:bCs/>
          <w:kern w:val="0"/>
        </w:rPr>
        <w:t xml:space="preserve"> Bartlett </w:t>
      </w:r>
      <w:r>
        <w:rPr>
          <w:rStyle w:val="21"/>
          <w:rFonts w:hint="eastAsia" w:cs="MingLiU" w:asciiTheme="minorEastAsia" w:hAnsiTheme="minorEastAsia"/>
          <w:bCs/>
          <w:kern w:val="0"/>
        </w:rPr>
        <w:t>的检验</w:t>
      </w:r>
      <w:r>
        <w:tab/>
      </w:r>
      <w:r>
        <w:fldChar w:fldCharType="begin"/>
      </w:r>
      <w:r>
        <w:instrText xml:space="preserve"> PAGEREF _Toc470886960 \h </w:instrText>
      </w:r>
      <w:r>
        <w:fldChar w:fldCharType="separate"/>
      </w:r>
      <w:r>
        <w:t>74</w:t>
      </w:r>
      <w:r>
        <w:fldChar w:fldCharType="end"/>
      </w:r>
      <w:r>
        <w:fldChar w:fldCharType="end"/>
      </w:r>
    </w:p>
    <w:p>
      <w:pPr>
        <w:pStyle w:val="17"/>
        <w:tabs>
          <w:tab w:val="right" w:leader="dot" w:pos="8296"/>
        </w:tabs>
        <w:rPr>
          <w:caps w:val="0"/>
          <w:sz w:val="21"/>
          <w:szCs w:val="22"/>
        </w:rPr>
      </w:pPr>
      <w:r>
        <w:fldChar w:fldCharType="begin"/>
      </w:r>
      <w:r>
        <w:instrText xml:space="preserve"> HYPERLINK \l "_Toc470886961" </w:instrText>
      </w:r>
      <w:r>
        <w:fldChar w:fldCharType="separate"/>
      </w:r>
      <w:r>
        <w:rPr>
          <w:rStyle w:val="21"/>
          <w:rFonts w:hint="eastAsia" w:asciiTheme="minorEastAsia" w:hAnsiTheme="minorEastAsia"/>
        </w:rPr>
        <w:t>表</w:t>
      </w:r>
      <w:r>
        <w:rPr>
          <w:rStyle w:val="21"/>
          <w:rFonts w:asciiTheme="minorEastAsia" w:hAnsiTheme="minorEastAsia"/>
        </w:rPr>
        <w:t xml:space="preserve">6-10 </w:t>
      </w:r>
      <w:r>
        <w:rPr>
          <w:rStyle w:val="21"/>
          <w:rFonts w:hint="eastAsia" w:cs="MingLiU" w:asciiTheme="minorEastAsia" w:hAnsiTheme="minorEastAsia"/>
          <w:bCs/>
          <w:kern w:val="0"/>
        </w:rPr>
        <w:t>解释的总方差</w:t>
      </w:r>
      <w:r>
        <w:tab/>
      </w:r>
      <w:r>
        <w:fldChar w:fldCharType="begin"/>
      </w:r>
      <w:r>
        <w:instrText xml:space="preserve"> PAGEREF _Toc470886961 \h </w:instrText>
      </w:r>
      <w:r>
        <w:fldChar w:fldCharType="separate"/>
      </w:r>
      <w:r>
        <w:t>74</w:t>
      </w:r>
      <w:r>
        <w:fldChar w:fldCharType="end"/>
      </w:r>
      <w:r>
        <w:fldChar w:fldCharType="end"/>
      </w:r>
    </w:p>
    <w:p>
      <w:pPr>
        <w:pStyle w:val="17"/>
        <w:tabs>
          <w:tab w:val="right" w:leader="dot" w:pos="8296"/>
        </w:tabs>
        <w:rPr>
          <w:caps w:val="0"/>
          <w:sz w:val="21"/>
          <w:szCs w:val="22"/>
        </w:rPr>
      </w:pPr>
      <w:r>
        <w:fldChar w:fldCharType="begin"/>
      </w:r>
      <w:r>
        <w:instrText xml:space="preserve"> HYPERLINK \l "_Toc470886962" </w:instrText>
      </w:r>
      <w:r>
        <w:fldChar w:fldCharType="separate"/>
      </w:r>
      <w:r>
        <w:rPr>
          <w:rStyle w:val="21"/>
          <w:rFonts w:hint="eastAsia" w:asciiTheme="minorEastAsia" w:hAnsiTheme="minorEastAsia"/>
        </w:rPr>
        <w:t>表</w:t>
      </w:r>
      <w:r>
        <w:rPr>
          <w:rStyle w:val="21"/>
          <w:rFonts w:asciiTheme="minorEastAsia" w:hAnsiTheme="minorEastAsia"/>
        </w:rPr>
        <w:t xml:space="preserve">6-11 </w:t>
      </w:r>
      <w:r>
        <w:rPr>
          <w:rStyle w:val="21"/>
          <w:rFonts w:hint="eastAsia" w:cs="宋体" w:asciiTheme="minorEastAsia" w:hAnsiTheme="minorEastAsia"/>
        </w:rPr>
        <w:t>行业需求情况</w:t>
      </w:r>
      <w:r>
        <w:tab/>
      </w:r>
      <w:r>
        <w:fldChar w:fldCharType="begin"/>
      </w:r>
      <w:r>
        <w:instrText xml:space="preserve"> PAGEREF _Toc470886962 \h </w:instrText>
      </w:r>
      <w:r>
        <w:fldChar w:fldCharType="separate"/>
      </w:r>
      <w:r>
        <w:t>84</w:t>
      </w:r>
      <w:r>
        <w:fldChar w:fldCharType="end"/>
      </w:r>
      <w:r>
        <w:fldChar w:fldCharType="end"/>
      </w:r>
    </w:p>
    <w:p>
      <w:r>
        <w:fldChar w:fldCharType="end"/>
      </w:r>
    </w:p>
    <w:p>
      <w:pPr>
        <w:sectPr>
          <w:footerReference r:id="rId9" w:type="default"/>
          <w:pgSz w:w="11906" w:h="16838"/>
          <w:pgMar w:top="1440" w:right="1800" w:bottom="1440" w:left="1800" w:header="851" w:footer="992" w:gutter="0"/>
          <w:pgNumType w:fmt="upperRoman" w:start="1"/>
          <w:cols w:space="425" w:num="1"/>
          <w:docGrid w:type="lines" w:linePitch="312" w:charSpace="0"/>
        </w:sectPr>
      </w:pPr>
    </w:p>
    <w:p>
      <w:pPr>
        <w:pStyle w:val="24"/>
      </w:pPr>
      <w:bookmarkStart w:id="1" w:name="_Toc471310902"/>
      <w:bookmarkStart w:id="2" w:name="_Toc469038299"/>
      <w:r>
        <w:rPr>
          <w:rFonts w:hint="eastAsia"/>
        </w:rPr>
        <w:t>前言</w:t>
      </w:r>
      <w:bookmarkEnd w:id="1"/>
      <w:bookmarkEnd w:id="2"/>
    </w:p>
    <w:p>
      <w:pPr>
        <w:pStyle w:val="40"/>
      </w:pPr>
      <w:r>
        <w:rPr>
          <w:rFonts w:hint="eastAsia"/>
        </w:rPr>
        <w:t>毕业生就业质量是人才培养质量的重要反映，毕业生就业质量年度报告是学校进一步完善毕业生就业状况反馈机制，进行学科专业调整、教育教学改革等工作的重要参考，也是健全专业预警、退出和动态调整机制，增强学科专业设置与社会需求匹配度、毕业生就业创业能力的实际需要。根据</w:t>
      </w:r>
      <w:r>
        <w:rPr>
          <w:rFonts w:ascii="宋体" w:hAnsi="宋体"/>
        </w:rPr>
        <w:t>2015年教育部发布</w:t>
      </w:r>
      <w:r>
        <w:rPr>
          <w:rFonts w:hint="eastAsia" w:ascii="宋体" w:hAnsi="宋体"/>
        </w:rPr>
        <w:t>的</w:t>
      </w:r>
      <w:r>
        <w:rPr>
          <w:rFonts w:ascii="宋体" w:hAnsi="宋体"/>
        </w:rPr>
        <w:t>《教育部关于做好2016届全国普通高等学校毕业生就业创业工作的通知》</w:t>
      </w:r>
      <w:r>
        <w:rPr>
          <w:rFonts w:hint="eastAsia" w:ascii="宋体" w:hAnsi="宋体"/>
        </w:rPr>
        <w:t>中，对</w:t>
      </w:r>
      <w:r>
        <w:rPr>
          <w:rFonts w:ascii="宋体" w:hAnsi="宋体"/>
        </w:rPr>
        <w:t>各高校进一步完善高校毕业生就业质量年度报告发布制度，各地各高校要在每年年底前编制和发布就业质量年度报告</w:t>
      </w:r>
      <w:r>
        <w:rPr>
          <w:rFonts w:hint="eastAsia" w:ascii="宋体" w:hAnsi="宋体"/>
        </w:rPr>
        <w:t>的</w:t>
      </w:r>
      <w:r>
        <w:rPr>
          <w:rFonts w:hint="eastAsia"/>
        </w:rPr>
        <w:t>精神和《教育部办公厅关于编制发布高校毕业生就业质量年度报告的通知》（教学厅函〔2013〕25号）要求，湖南商学院依据数据调研相关信息，组织专人编制《湖南</w:t>
      </w:r>
      <w:r>
        <w:t>商</w:t>
      </w:r>
      <w:r>
        <w:rPr>
          <w:rFonts w:hint="eastAsia"/>
        </w:rPr>
        <w:t>学院2016届毕业生就业质量年度报告》，现予以公开发布。</w:t>
      </w:r>
    </w:p>
    <w:p>
      <w:pPr>
        <w:pStyle w:val="40"/>
      </w:pPr>
      <w:r>
        <w:rPr>
          <w:rFonts w:hint="eastAsia"/>
        </w:rPr>
        <w:t>本报告基于湖南省高校毕业生就业系统数据,并</w:t>
      </w:r>
      <w:r>
        <w:t>组织调研，</w:t>
      </w:r>
      <w:r>
        <w:rPr>
          <w:rFonts w:hint="eastAsia"/>
        </w:rPr>
        <w:t>结合</w:t>
      </w:r>
      <w:r>
        <w:t>调研数据进行分析，撰写</w:t>
      </w:r>
      <w:r>
        <w:rPr>
          <w:rFonts w:hint="eastAsia"/>
        </w:rPr>
        <w:t>2016届</w:t>
      </w:r>
      <w:r>
        <w:t>毕业生就业质量报告。总体而言，</w:t>
      </w:r>
      <w:r>
        <w:rPr>
          <w:rFonts w:hint="eastAsia"/>
        </w:rPr>
        <w:t>湖南商</w:t>
      </w:r>
      <w:r>
        <w:t>学院2016届毕业生</w:t>
      </w:r>
      <w:r>
        <w:rPr>
          <w:rFonts w:hint="eastAsia"/>
        </w:rPr>
        <w:t>的</w:t>
      </w:r>
      <w:r>
        <w:t>初次</w:t>
      </w:r>
      <w:r>
        <w:rPr>
          <w:rFonts w:hint="eastAsia"/>
        </w:rPr>
        <w:t>就业率92.</w:t>
      </w:r>
      <w:r>
        <w:t>25</w:t>
      </w:r>
      <w:r>
        <w:rPr>
          <w:rFonts w:hint="eastAsia"/>
        </w:rPr>
        <w:t>%</w:t>
      </w:r>
      <w:r>
        <w:t>，达</w:t>
      </w:r>
      <w:r>
        <w:rPr>
          <w:rFonts w:hint="eastAsia"/>
        </w:rPr>
        <w:t>到较好</w:t>
      </w:r>
      <w:r>
        <w:t>水平。</w:t>
      </w:r>
    </w:p>
    <w:p>
      <w:pPr>
        <w:pStyle w:val="40"/>
      </w:pPr>
      <w:r>
        <w:rPr>
          <w:rFonts w:hint="eastAsia"/>
        </w:rPr>
        <w:t>湖南商</w:t>
      </w:r>
      <w:r>
        <w:t>学院高度重视毕业生就业工作。面对严峻的就业形势，学校采取有效措施积极应对，统筹规划建设就业市场，巩固校园就业主渠道，全方位、多渠道、高质量开展就业指导服务，提高毕业生就业竞争力，确保</w:t>
      </w:r>
      <w:r>
        <w:rPr>
          <w:rFonts w:hint="eastAsia"/>
        </w:rPr>
        <w:t>了</w:t>
      </w:r>
      <w:r>
        <w:t>2016届毕业生实现了较高质量的就业和创业。</w:t>
      </w:r>
    </w:p>
    <w:p>
      <w:pPr>
        <w:pStyle w:val="40"/>
      </w:pPr>
      <w:r>
        <w:rPr>
          <w:rFonts w:hint="eastAsia"/>
        </w:rPr>
        <w:t>毕业生就业创业工作是衡量高校教育教学和人才培养成果的重要标准，事关经济发展和民生改善大局。通过本报告，</w:t>
      </w:r>
      <w:r>
        <w:t>希望社会各界能够</w:t>
      </w:r>
      <w:r>
        <w:rPr>
          <w:rFonts w:hint="eastAsia"/>
        </w:rPr>
        <w:t>进一步了解湖南商</w:t>
      </w:r>
      <w:r>
        <w:t>学院</w:t>
      </w:r>
      <w:r>
        <w:rPr>
          <w:rFonts w:hint="eastAsia"/>
        </w:rPr>
        <w:t>的人才培养特色、就业创业工作亮点，关心并支持学校毕业生的就业创业工作，对相关工作常提宝贵意见和建议，为学校</w:t>
      </w:r>
      <w:r>
        <w:t>的</w:t>
      </w:r>
      <w:r>
        <w:rPr>
          <w:rFonts w:hint="eastAsia"/>
        </w:rPr>
        <w:t>发展</w:t>
      </w:r>
      <w:r>
        <w:t>助跑</w:t>
      </w:r>
      <w:r>
        <w:rPr>
          <w:rFonts w:hint="eastAsia"/>
        </w:rPr>
        <w:t>。</w:t>
      </w:r>
    </w:p>
    <w:p>
      <w:pPr>
        <w:pStyle w:val="40"/>
        <w:ind w:firstLine="0" w:firstLineChars="0"/>
        <w:rPr>
          <w:sz w:val="18"/>
          <w:szCs w:val="18"/>
        </w:rPr>
      </w:pPr>
      <w:r>
        <w:rPr>
          <w:rFonts w:hint="eastAsia"/>
          <w:sz w:val="18"/>
          <w:szCs w:val="18"/>
        </w:rPr>
        <w:t>注：本分析报告计算出的率值统一采用精确保留百分比小数点后两位，所有百分比类的结果皆为通用模式，通过四舍五入的方式对前面一位数字进行加减，所以结果偏差值不会高于0.5%。</w:t>
      </w:r>
    </w:p>
    <w:p>
      <w:pPr>
        <w:pStyle w:val="24"/>
      </w:pPr>
      <w:bookmarkStart w:id="3" w:name="_Toc469038300"/>
      <w:bookmarkStart w:id="4" w:name="_Toc471310903"/>
      <w:r>
        <w:rPr>
          <w:rFonts w:hint="eastAsia"/>
        </w:rPr>
        <w:t>学校</w:t>
      </w:r>
      <w:r>
        <w:t>概况</w:t>
      </w:r>
      <w:bookmarkEnd w:id="3"/>
      <w:bookmarkEnd w:id="4"/>
    </w:p>
    <w:p>
      <w:pPr>
        <w:pStyle w:val="40"/>
      </w:pPr>
      <w:r>
        <w:rPr>
          <w:rFonts w:hint="eastAsia"/>
        </w:rPr>
        <w:t>湖南商学院坐落在历史文化名城长沙市，南朝岳麓，东顾湘江。是一所以经济学、管理学为主，涵盖经、管、法、文、理、工、艺等学科的省属全日制普通高等学校，是教育部本科教学工作水平评估优秀高校，国家“十三五”产教融合工程应用型本科高校。被评为全国百强“高校实践育人创新创业基地”，全国首批深化创新创业教育改革示范高校。学校正朝着建设创新型、创业型、应用型区域一流的高水平财经类大学努力迈进。</w:t>
      </w:r>
    </w:p>
    <w:p>
      <w:pPr>
        <w:pStyle w:val="40"/>
      </w:pPr>
      <w:r>
        <w:rPr>
          <w:rFonts w:hint="eastAsia"/>
        </w:rPr>
        <w:t>学校始建于1949年，校园占地1340.61亩，建筑面积47万余平方米。现有总值1亿余元的教学仪器设备，200余万册的图书馆藏书。现设有17个教学院（部）、52个科研机构以及教育部首批批准成立的独立学院——北津学院。有普通全日制在校学生2万余人。有3个一级学科硕士学位授权点、2个硕士专业学位授权点，有5个省级重点建设学科，8个省级社科研究基地，1个省级教育科学研究基地，1个省高校产学研合作示范基地，1个省级高校创新团队，2个省级2011协同创新中心，1个省级重点实验室。有49个本科专业，其中，2个教育部高等学校“第一类特色专业建设点”，1个“第二类特色专业建设点”，1个国家级专业综合改革试点项目，2个省级专业综合改革试点项目，5个省级重点专业，2个省级资助建设专业，9个省级特色专业。有1个教育部“人才培养模式创新实验区”建设项目，2门国家级精品课程，1门国家级精品资源共享课，10门省级精品课程，8个省级优秀教学实习基地，4个省级教学团队，3个湖南省普通高校校企合作人才培养示范基地，3个省级大学生创新训练中心。</w:t>
      </w:r>
    </w:p>
    <w:p>
      <w:pPr>
        <w:pStyle w:val="40"/>
      </w:pPr>
      <w:r>
        <w:rPr>
          <w:rFonts w:hint="eastAsia"/>
        </w:rPr>
        <w:t>学校有教职工1138人，其中，具有正高职称者136人，具有副高职称者263人，具有博士学位者189人，国务院学科评议组成员1人，教育部人文社会科学委员会学部委员1人，教育部科学技术委员会学部委员1人，全国优秀教师3人，全国师德先进个人1人，全国“三八红旗手”1人，国家自然科学基金委创新研究群体首席教授1人，“长江学者创新团队”首席教授1人，国家杰出青年基金获得者1人，首届中国杰出社会科学家1人，全国文化名家暨“四个一批”人才、“万人计划”哲学社会科学领军人才1人，“百千万人才工程”第一、二层次国家级人选1人，教育部高等学校教学指导委员会委员3人，享受国务院政府特殊津贴的专家9人，教育部“新世纪优秀人才支持计划人选”1人，“芙蓉学者计划”首届特聘教授1人并荣获“芙蓉学者”贡献奖，湖南省优秀社会科学专家1人，湖南省新世纪“121人才工程”人选13人，湖南省教学名师3人，获湖南省“徐特立教育奖”1人，湖南省普通高等学校学科带头人（含培养对象）9人，湖南省普通高校青年骨干教师（含培养对象）71人。</w:t>
      </w:r>
    </w:p>
    <w:p>
      <w:pPr>
        <w:pStyle w:val="40"/>
      </w:pPr>
      <w:r>
        <w:rPr>
          <w:rFonts w:hint="eastAsia"/>
        </w:rPr>
        <w:t>学校近五年共承担各级各类科研项目1094项，其中，国家社会科学基金重大项目1项，教育部人文社科重大项目1项，国家社会科学和自然科学基金重点项目5项、其他项目71项，国家软科学重大项目4项，教育部人文社科项目44项，国际招标项目1项，省社会科学基金重大项目18项。国家级、省部级课题数量在湖南省省属一般院校中名列前茅。目前是湖南省唯一一所获教育部高等学校科学研究优秀成果（人文社会科学）一、二、三等奖的高校。</w:t>
      </w:r>
    </w:p>
    <w:p>
      <w:pPr>
        <w:pStyle w:val="40"/>
      </w:pPr>
      <w:r>
        <w:rPr>
          <w:rFonts w:hint="eastAsia"/>
        </w:rPr>
        <w:t>学校遵循“至诚至信，为实为新”的校训，以育人为本，以教学为中心，坚持培养基础扎实、综合素质高、实践能力强，具有市场意识和创新精神的应用型高级专门人才。面向30个省、直辖市、自治区招生，近年来年度就业率一直稳定在9</w:t>
      </w:r>
      <w:r>
        <w:rPr>
          <w:rFonts w:hint="eastAsia"/>
          <w:lang w:val="en-US" w:eastAsia="zh-CN"/>
        </w:rPr>
        <w:t>7</w:t>
      </w:r>
      <w:r>
        <w:rPr>
          <w:rFonts w:hint="eastAsia"/>
        </w:rPr>
        <w:t>%以上，为地方经济建设和社会发展作出了应有的贡献。学校对外交流日益广泛，已与美国、荷兰、英国、爱尔兰等国家的10余所大学和科研机构建立了合作办学和校际交流关系。</w:t>
      </w:r>
    </w:p>
    <w:p>
      <w:pPr>
        <w:pStyle w:val="40"/>
      </w:pPr>
    </w:p>
    <w:p>
      <w:pPr>
        <w:pStyle w:val="40"/>
      </w:pPr>
    </w:p>
    <w:p>
      <w:pPr>
        <w:pStyle w:val="40"/>
      </w:pPr>
    </w:p>
    <w:p>
      <w:pPr>
        <w:pStyle w:val="40"/>
      </w:pPr>
    </w:p>
    <w:p>
      <w:pPr>
        <w:pStyle w:val="40"/>
      </w:pPr>
    </w:p>
    <w:p>
      <w:pPr>
        <w:pStyle w:val="40"/>
      </w:pPr>
    </w:p>
    <w:p>
      <w:pPr>
        <w:pStyle w:val="40"/>
      </w:pPr>
    </w:p>
    <w:p>
      <w:pPr>
        <w:pStyle w:val="24"/>
      </w:pPr>
      <w:bookmarkStart w:id="5" w:name="_Toc471310904"/>
      <w:bookmarkStart w:id="6" w:name="_Toc469038301"/>
      <w:r>
        <w:rPr>
          <w:rFonts w:hint="eastAsia"/>
        </w:rPr>
        <w:t xml:space="preserve">第一章 </w:t>
      </w:r>
      <w:r>
        <w:t>201</w:t>
      </w:r>
      <w:r>
        <w:rPr>
          <w:rFonts w:hint="eastAsia"/>
        </w:rPr>
        <w:t>6届毕业生</w:t>
      </w:r>
      <w:bookmarkEnd w:id="0"/>
      <w:r>
        <w:rPr>
          <w:rFonts w:hint="eastAsia"/>
        </w:rPr>
        <w:t>生源结构与</w:t>
      </w:r>
      <w:r>
        <w:t>规模分布</w:t>
      </w:r>
      <w:bookmarkEnd w:id="5"/>
      <w:bookmarkEnd w:id="6"/>
    </w:p>
    <w:p>
      <w:pPr>
        <w:pStyle w:val="25"/>
      </w:pPr>
      <w:bookmarkStart w:id="7" w:name="_Toc471310905"/>
      <w:bookmarkStart w:id="8" w:name="_Toc469038302"/>
      <w:r>
        <w:rPr>
          <w:rFonts w:hint="eastAsia"/>
        </w:rPr>
        <w:t>一、2016届</w:t>
      </w:r>
      <w:r>
        <w:t>毕业生</w:t>
      </w:r>
      <w:r>
        <w:rPr>
          <w:rFonts w:hint="eastAsia"/>
        </w:rPr>
        <w:t>规模与</w:t>
      </w:r>
      <w:bookmarkStart w:id="393" w:name="_GoBack"/>
      <w:bookmarkEnd w:id="393"/>
      <w:r>
        <w:rPr>
          <w:rFonts w:hint="eastAsia"/>
        </w:rPr>
        <w:t>学历层次分布情况</w:t>
      </w:r>
      <w:bookmarkEnd w:id="7"/>
      <w:bookmarkEnd w:id="8"/>
    </w:p>
    <w:p>
      <w:pPr>
        <w:pStyle w:val="40"/>
      </w:pPr>
      <w:r>
        <w:rPr>
          <w:rFonts w:hint="eastAsia"/>
        </w:rPr>
        <w:t>湖南</w:t>
      </w:r>
      <w:r>
        <w:t>商学院2016</w:t>
      </w:r>
      <w:r>
        <w:rPr>
          <w:rFonts w:hint="eastAsia"/>
        </w:rPr>
        <w:t>届</w:t>
      </w:r>
      <w:r>
        <w:t>毕业生共</w:t>
      </w:r>
      <w:r>
        <w:rPr>
          <w:rFonts w:hint="eastAsia"/>
        </w:rPr>
        <w:t>3460人</w:t>
      </w:r>
      <w:r>
        <w:t>，其中本科生毕业生</w:t>
      </w:r>
      <w:r>
        <w:rPr>
          <w:rFonts w:hint="eastAsia"/>
        </w:rPr>
        <w:t>3266人</w:t>
      </w:r>
      <w:r>
        <w:t>，占比近95.00%，专科生毕业生</w:t>
      </w:r>
      <w:r>
        <w:rPr>
          <w:rFonts w:hint="eastAsia"/>
        </w:rPr>
        <w:t>194人。具体</w:t>
      </w:r>
      <w:r>
        <w:t>分布见图</w:t>
      </w:r>
      <w:r>
        <w:rPr>
          <w:rFonts w:hint="eastAsia"/>
        </w:rPr>
        <w:t>1</w:t>
      </w:r>
      <w:r>
        <w:t>-1。</w:t>
      </w:r>
    </w:p>
    <w:p>
      <w:pPr>
        <w:spacing w:before="156" w:after="156"/>
        <w:jc w:val="center"/>
      </w:pPr>
      <w:r>
        <w:drawing>
          <wp:inline distT="0" distB="0" distL="0" distR="0">
            <wp:extent cx="2276475" cy="2409825"/>
            <wp:effectExtent l="0" t="0" r="9525" b="952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pStyle w:val="8"/>
        <w:jc w:val="center"/>
        <w:rPr>
          <w:rFonts w:asciiTheme="minorEastAsia" w:hAnsiTheme="minorEastAsia" w:eastAsiaTheme="minorEastAsia"/>
          <w:sz w:val="18"/>
          <w:szCs w:val="18"/>
        </w:rPr>
      </w:pPr>
      <w:bookmarkStart w:id="9" w:name="_Toc470887060"/>
      <w:r>
        <w:rPr>
          <w:rFonts w:hint="eastAsia" w:asciiTheme="minorEastAsia" w:hAnsiTheme="minorEastAsia" w:eastAsiaTheme="minorEastAsia"/>
          <w:sz w:val="18"/>
          <w:szCs w:val="18"/>
        </w:rPr>
        <w:t>图1-</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图1-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1</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2016届</w:t>
      </w:r>
      <w:r>
        <w:rPr>
          <w:rFonts w:asciiTheme="minorEastAsia" w:hAnsiTheme="minorEastAsia" w:eastAsiaTheme="minorEastAsia"/>
          <w:sz w:val="18"/>
          <w:szCs w:val="18"/>
        </w:rPr>
        <w:t>毕业生学历层次分布</w:t>
      </w:r>
      <w:bookmarkEnd w:id="9"/>
    </w:p>
    <w:p>
      <w:pPr>
        <w:pStyle w:val="25"/>
      </w:pPr>
      <w:bookmarkStart w:id="10" w:name="_Toc471310906"/>
      <w:bookmarkStart w:id="11" w:name="_Toc469038303"/>
      <w:r>
        <w:rPr>
          <w:rFonts w:hint="eastAsia"/>
        </w:rPr>
        <w:t>二、2016届</w:t>
      </w:r>
      <w:r>
        <w:t>毕业生</w:t>
      </w:r>
      <w:r>
        <w:rPr>
          <w:rFonts w:hint="eastAsia"/>
        </w:rPr>
        <w:t>性别分布情况</w:t>
      </w:r>
      <w:bookmarkEnd w:id="10"/>
      <w:bookmarkEnd w:id="11"/>
    </w:p>
    <w:p>
      <w:pPr>
        <w:pStyle w:val="40"/>
      </w:pPr>
      <w:r>
        <w:rPr>
          <w:rFonts w:hint="eastAsia"/>
        </w:rPr>
        <w:t>分性别来看</w:t>
      </w:r>
      <w:r>
        <w:t>，男性</w:t>
      </w:r>
      <w:r>
        <w:rPr>
          <w:rFonts w:hint="eastAsia"/>
        </w:rPr>
        <w:t>毕业生1062人</w:t>
      </w:r>
      <w:r>
        <w:t>，女性毕业生</w:t>
      </w:r>
      <w:r>
        <w:rPr>
          <w:rFonts w:hint="eastAsia"/>
        </w:rPr>
        <w:t>2398人</w:t>
      </w:r>
      <w:r>
        <w:t>，女性毕业生是</w:t>
      </w:r>
      <w:r>
        <w:rPr>
          <w:rFonts w:hint="eastAsia"/>
        </w:rPr>
        <w:t>男</w:t>
      </w:r>
      <w:r>
        <w:t>性毕业生的</w:t>
      </w:r>
      <w:r>
        <w:rPr>
          <w:rFonts w:hint="eastAsia"/>
        </w:rPr>
        <w:t>2倍</w:t>
      </w:r>
      <w:r>
        <w:t>以上。</w:t>
      </w:r>
    </w:p>
    <w:p>
      <w:pPr>
        <w:pStyle w:val="8"/>
        <w:jc w:val="center"/>
        <w:rPr>
          <w:rFonts w:asciiTheme="minorEastAsia" w:hAnsiTheme="minorEastAsia" w:eastAsiaTheme="minorEastAsia"/>
          <w:sz w:val="18"/>
          <w:szCs w:val="18"/>
        </w:rPr>
      </w:pPr>
      <w:bookmarkStart w:id="12" w:name="_Toc470886992"/>
      <w:r>
        <w:rPr>
          <w:rFonts w:hint="eastAsia" w:asciiTheme="minorEastAsia" w:hAnsiTheme="minorEastAsia" w:eastAsiaTheme="minorEastAsia"/>
          <w:sz w:val="18"/>
          <w:szCs w:val="18"/>
        </w:rPr>
        <w:t>表1-</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表1-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1</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2016届</w:t>
      </w:r>
      <w:r>
        <w:rPr>
          <w:rFonts w:asciiTheme="minorEastAsia" w:hAnsiTheme="minorEastAsia" w:eastAsiaTheme="minorEastAsia"/>
          <w:sz w:val="18"/>
          <w:szCs w:val="18"/>
        </w:rPr>
        <w:t>毕业生性别分布</w:t>
      </w:r>
      <w:bookmarkEnd w:id="12"/>
    </w:p>
    <w:tbl>
      <w:tblPr>
        <w:tblStyle w:val="50"/>
        <w:tblW w:w="8296" w:type="dxa"/>
        <w:tblInd w:w="0" w:type="dxa"/>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
      <w:tblGrid>
        <w:gridCol w:w="3255"/>
        <w:gridCol w:w="2957"/>
        <w:gridCol w:w="2084"/>
      </w:tblGrid>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255" w:type="dxa"/>
            <w:tcBorders>
              <w:top w:val="single" w:color="ED7D31" w:themeColor="accent2" w:sz="4" w:space="0"/>
              <w:left w:val="single" w:color="ED7D31" w:themeColor="accent2" w:sz="4" w:space="0"/>
              <w:bottom w:val="single" w:color="ED7D31" w:themeColor="accent2" w:sz="4" w:space="0"/>
              <w:right w:val="nil"/>
              <w:insideH w:val="single" w:sz="4" w:space="0"/>
              <w:insideV w:val="nil"/>
            </w:tcBorders>
            <w:shd w:val="clear" w:color="auto" w:fill="ED7D31" w:themeFill="accent2"/>
            <w:vAlign w:val="center"/>
          </w:tcPr>
          <w:p>
            <w:pPr>
              <w:jc w:val="center"/>
              <w:rPr>
                <w:rFonts w:asciiTheme="minorEastAsia" w:hAnsiTheme="minorEastAsia"/>
                <w:b/>
                <w:bCs/>
                <w:color w:val="FFFFFF" w:themeColor="background1"/>
                <w:sz w:val="18"/>
                <w:szCs w:val="18"/>
                <w14:textFill>
                  <w14:solidFill>
                    <w14:schemeClr w14:val="bg1"/>
                  </w14:solidFill>
                </w14:textFill>
              </w:rPr>
            </w:pPr>
            <w:r>
              <w:rPr>
                <w:rFonts w:hint="eastAsia" w:asciiTheme="minorEastAsia" w:hAnsiTheme="minorEastAsia"/>
                <w:b/>
                <w:bCs/>
                <w:color w:val="FFFFFF" w:themeColor="background1"/>
                <w:sz w:val="18"/>
                <w:szCs w:val="18"/>
                <w14:textFill>
                  <w14:solidFill>
                    <w14:schemeClr w14:val="bg1"/>
                  </w14:solidFill>
                </w14:textFill>
              </w:rPr>
              <w:t>性别</w:t>
            </w:r>
          </w:p>
        </w:tc>
        <w:tc>
          <w:tcPr>
            <w:tcW w:w="2957" w:type="dxa"/>
            <w:tcBorders>
              <w:top w:val="single" w:color="ED7D31" w:themeColor="accent2" w:sz="4" w:space="0"/>
              <w:bottom w:val="single" w:color="ED7D31" w:themeColor="accent2" w:sz="4" w:space="0"/>
              <w:right w:val="nil"/>
              <w:insideH w:val="single" w:sz="4" w:space="0"/>
              <w:insideV w:val="nil"/>
            </w:tcBorders>
            <w:shd w:val="clear" w:color="auto" w:fill="ED7D31" w:themeFill="accent2"/>
            <w:vAlign w:val="center"/>
          </w:tcPr>
          <w:p>
            <w:pPr>
              <w:jc w:val="center"/>
              <w:rPr>
                <w:rFonts w:asciiTheme="minorEastAsia" w:hAnsiTheme="minorEastAsia"/>
                <w:b/>
                <w:bCs/>
                <w:color w:val="FFFFFF" w:themeColor="background1"/>
                <w:sz w:val="18"/>
                <w:szCs w:val="18"/>
                <w14:textFill>
                  <w14:solidFill>
                    <w14:schemeClr w14:val="bg1"/>
                  </w14:solidFill>
                </w14:textFill>
              </w:rPr>
            </w:pPr>
            <w:r>
              <w:rPr>
                <w:rFonts w:hint="eastAsia" w:asciiTheme="minorEastAsia" w:hAnsiTheme="minorEastAsia"/>
                <w:b/>
                <w:bCs/>
                <w:color w:val="FFFFFF" w:themeColor="background1"/>
                <w:sz w:val="18"/>
                <w:szCs w:val="18"/>
                <w14:textFill>
                  <w14:solidFill>
                    <w14:schemeClr w14:val="bg1"/>
                  </w14:solidFill>
                </w14:textFill>
              </w:rPr>
              <w:t>人数</w:t>
            </w:r>
          </w:p>
        </w:tc>
        <w:tc>
          <w:tcPr>
            <w:tcW w:w="2084" w:type="dxa"/>
            <w:tcBorders>
              <w:top w:val="single" w:color="ED7D31" w:themeColor="accent2" w:sz="4" w:space="0"/>
              <w:bottom w:val="single" w:color="ED7D31" w:themeColor="accent2" w:sz="4" w:space="0"/>
              <w:right w:val="single" w:color="ED7D31" w:themeColor="accent2" w:sz="4" w:space="0"/>
              <w:insideH w:val="single" w:sz="4" w:space="0"/>
              <w:insideV w:val="nil"/>
            </w:tcBorders>
            <w:shd w:val="clear" w:color="auto" w:fill="ED7D31" w:themeFill="accent2"/>
            <w:vAlign w:val="center"/>
          </w:tcPr>
          <w:p>
            <w:pPr>
              <w:jc w:val="center"/>
              <w:rPr>
                <w:rFonts w:asciiTheme="minorEastAsia" w:hAnsiTheme="minorEastAsia"/>
                <w:b/>
                <w:bCs/>
                <w:color w:val="FFFFFF" w:themeColor="background1"/>
                <w:sz w:val="18"/>
                <w:szCs w:val="18"/>
                <w14:textFill>
                  <w14:solidFill>
                    <w14:schemeClr w14:val="bg1"/>
                  </w14:solidFill>
                </w14:textFill>
              </w:rPr>
            </w:pPr>
            <w:r>
              <w:rPr>
                <w:rFonts w:hint="eastAsia" w:asciiTheme="minorEastAsia" w:hAnsiTheme="minorEastAsia"/>
                <w:b/>
                <w:bCs/>
                <w:color w:val="FFFFFF" w:themeColor="background1"/>
                <w:sz w:val="18"/>
                <w:szCs w:val="18"/>
                <w14:textFill>
                  <w14:solidFill>
                    <w14:schemeClr w14:val="bg1"/>
                  </w14:solidFill>
                </w14:textFill>
              </w:rPr>
              <w:t>比例（%</w:t>
            </w:r>
            <w:r>
              <w:rPr>
                <w:rFonts w:asciiTheme="minorEastAsia" w:hAnsiTheme="minorEastAsia"/>
                <w:b/>
                <w:bCs/>
                <w:color w:val="FFFFFF" w:themeColor="background1"/>
                <w:sz w:val="18"/>
                <w:szCs w:val="18"/>
                <w14:textFill>
                  <w14:solidFill>
                    <w14:schemeClr w14:val="bg1"/>
                  </w14:solidFill>
                </w14:textFill>
              </w:rPr>
              <w:t>）</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255" w:type="dxa"/>
            <w:shd w:val="clear" w:color="auto" w:fill="FBE4D5" w:themeFill="accent2" w:themeFillTint="33"/>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男性毕业生</w:t>
            </w:r>
          </w:p>
        </w:tc>
        <w:tc>
          <w:tcPr>
            <w:tcW w:w="2957"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1062</w:t>
            </w:r>
          </w:p>
        </w:tc>
        <w:tc>
          <w:tcPr>
            <w:tcW w:w="2084"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30.69</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255" w:type="dxa"/>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女性毕业生</w:t>
            </w:r>
          </w:p>
        </w:tc>
        <w:tc>
          <w:tcPr>
            <w:tcW w:w="2957" w:type="dxa"/>
            <w:vAlign w:val="center"/>
          </w:tcPr>
          <w:p>
            <w:pPr>
              <w:jc w:val="center"/>
              <w:rPr>
                <w:rFonts w:asciiTheme="minorEastAsia" w:hAnsiTheme="minorEastAsia"/>
                <w:sz w:val="18"/>
                <w:szCs w:val="18"/>
              </w:rPr>
            </w:pPr>
            <w:r>
              <w:rPr>
                <w:rFonts w:hint="eastAsia" w:asciiTheme="minorEastAsia" w:hAnsiTheme="minorEastAsia"/>
                <w:sz w:val="18"/>
                <w:szCs w:val="18"/>
              </w:rPr>
              <w:t>2398</w:t>
            </w:r>
          </w:p>
        </w:tc>
        <w:tc>
          <w:tcPr>
            <w:tcW w:w="2084" w:type="dxa"/>
            <w:vAlign w:val="center"/>
          </w:tcPr>
          <w:p>
            <w:pPr>
              <w:jc w:val="center"/>
              <w:rPr>
                <w:rFonts w:asciiTheme="minorEastAsia" w:hAnsiTheme="minorEastAsia"/>
                <w:sz w:val="18"/>
                <w:szCs w:val="18"/>
              </w:rPr>
            </w:pPr>
            <w:r>
              <w:rPr>
                <w:rFonts w:hint="eastAsia" w:asciiTheme="minorEastAsia" w:hAnsiTheme="minorEastAsia"/>
                <w:sz w:val="18"/>
                <w:szCs w:val="18"/>
              </w:rPr>
              <w:t>69.31</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255" w:type="dxa"/>
            <w:shd w:val="clear" w:color="auto" w:fill="FBE4D5" w:themeFill="accent2" w:themeFillTint="33"/>
            <w:vAlign w:val="center"/>
          </w:tcPr>
          <w:p>
            <w:pPr>
              <w:jc w:val="center"/>
              <w:rPr>
                <w:rFonts w:asciiTheme="minorEastAsia" w:hAnsiTheme="minorEastAsia"/>
                <w:b/>
                <w:bCs/>
                <w:sz w:val="18"/>
                <w:szCs w:val="18"/>
              </w:rPr>
            </w:pPr>
            <w:r>
              <w:rPr>
                <w:rFonts w:hint="eastAsia" w:asciiTheme="minorEastAsia" w:hAnsiTheme="minorEastAsia"/>
                <w:b/>
                <w:bCs/>
                <w:sz w:val="18"/>
                <w:szCs w:val="18"/>
              </w:rPr>
              <w:t>总计</w:t>
            </w:r>
          </w:p>
        </w:tc>
        <w:tc>
          <w:tcPr>
            <w:tcW w:w="2957"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3460</w:t>
            </w:r>
          </w:p>
        </w:tc>
        <w:tc>
          <w:tcPr>
            <w:tcW w:w="2084"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100.00</w:t>
            </w:r>
          </w:p>
        </w:tc>
      </w:tr>
    </w:tbl>
    <w:p>
      <w:pPr>
        <w:spacing w:before="156" w:after="156"/>
      </w:pPr>
    </w:p>
    <w:p>
      <w:pPr>
        <w:pStyle w:val="25"/>
      </w:pPr>
      <w:bookmarkStart w:id="13" w:name="_Toc469038304"/>
      <w:bookmarkStart w:id="14" w:name="_Toc471310907"/>
      <w:r>
        <w:rPr>
          <w:rFonts w:hint="eastAsia"/>
        </w:rPr>
        <w:t>三、2016届</w:t>
      </w:r>
      <w:r>
        <w:t>毕业生</w:t>
      </w:r>
      <w:r>
        <w:rPr>
          <w:rFonts w:hint="eastAsia"/>
        </w:rPr>
        <w:t>生源地域分布情况</w:t>
      </w:r>
      <w:bookmarkEnd w:id="13"/>
      <w:bookmarkEnd w:id="14"/>
    </w:p>
    <w:p>
      <w:pPr>
        <w:pStyle w:val="40"/>
      </w:pPr>
      <w:r>
        <w:t>2016届毕业生3460人当中湖南本省2629人，占总人数的75.98%，外省共831人，其中外省省份地区分布如下图，可看出外省中泛</w:t>
      </w:r>
      <w:r>
        <w:rPr>
          <w:rFonts w:hint="eastAsia"/>
        </w:rPr>
        <w:t>长江</w:t>
      </w:r>
      <w:r>
        <w:t>三角洲地区人数最多，有196人，占</w:t>
      </w:r>
      <w:r>
        <w:rPr>
          <w:rFonts w:hint="eastAsia"/>
        </w:rPr>
        <w:t>比</w:t>
      </w:r>
      <w:r>
        <w:t>23.59%。接下来是泛渤海湾地区156人，占比18.77%。外省份其他区域的具体人数详见图</w:t>
      </w:r>
      <w:r>
        <w:rPr>
          <w:rFonts w:hint="eastAsia"/>
        </w:rPr>
        <w:t>1</w:t>
      </w:r>
      <w:r>
        <w:t>-2。</w:t>
      </w:r>
    </w:p>
    <w:p>
      <w:pPr>
        <w:pStyle w:val="40"/>
      </w:pPr>
      <w:r>
        <w:drawing>
          <wp:inline distT="0" distB="0" distL="0" distR="0">
            <wp:extent cx="4286250" cy="3238500"/>
            <wp:effectExtent l="0" t="0" r="0" b="0"/>
            <wp:docPr id="69" name="图表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pStyle w:val="8"/>
        <w:jc w:val="center"/>
        <w:rPr>
          <w:rFonts w:asciiTheme="minorEastAsia" w:hAnsiTheme="minorEastAsia" w:eastAsiaTheme="minorEastAsia"/>
          <w:sz w:val="18"/>
          <w:szCs w:val="18"/>
        </w:rPr>
      </w:pPr>
      <w:bookmarkStart w:id="15" w:name="_Toc470887061"/>
      <w:r>
        <w:rPr>
          <w:rFonts w:hint="eastAsia" w:asciiTheme="minorEastAsia" w:hAnsiTheme="minorEastAsia" w:eastAsiaTheme="minorEastAsia"/>
          <w:sz w:val="18"/>
          <w:szCs w:val="18"/>
        </w:rPr>
        <w:t>图1-</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图1-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2</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2016届毕业生外省</w:t>
      </w:r>
      <w:r>
        <w:rPr>
          <w:rFonts w:asciiTheme="minorEastAsia" w:hAnsiTheme="minorEastAsia" w:eastAsiaTheme="minorEastAsia"/>
          <w:sz w:val="18"/>
          <w:szCs w:val="18"/>
        </w:rPr>
        <w:t>生源地域分布</w:t>
      </w:r>
      <w:bookmarkEnd w:id="15"/>
    </w:p>
    <w:p>
      <w:pPr>
        <w:pStyle w:val="40"/>
      </w:pPr>
      <w:r>
        <w:rPr>
          <w:rFonts w:hint="eastAsia"/>
        </w:rPr>
        <w:t>注：泛珠江三角洲</w:t>
      </w:r>
      <w:r>
        <w:t>地区：广东、广西、福建、海南；</w:t>
      </w:r>
    </w:p>
    <w:p>
      <w:pPr>
        <w:pStyle w:val="40"/>
      </w:pPr>
      <w:r>
        <w:rPr>
          <w:rFonts w:hint="eastAsia"/>
        </w:rPr>
        <w:t>泛长江三角洲</w:t>
      </w:r>
      <w:r>
        <w:t>地区：上海、江苏、浙江、江西、安徽；</w:t>
      </w:r>
    </w:p>
    <w:p>
      <w:pPr>
        <w:pStyle w:val="40"/>
      </w:pPr>
      <w:r>
        <w:rPr>
          <w:rFonts w:hint="eastAsia"/>
        </w:rPr>
        <w:t>泛渤海湾</w:t>
      </w:r>
      <w:r>
        <w:t>地区：北京、天津、山东、河北、内蒙古、</w:t>
      </w:r>
      <w:r>
        <w:rPr>
          <w:rFonts w:hint="eastAsia"/>
        </w:rPr>
        <w:t>山西</w:t>
      </w:r>
      <w:r>
        <w:t>；</w:t>
      </w:r>
    </w:p>
    <w:p>
      <w:pPr>
        <w:pStyle w:val="40"/>
      </w:pPr>
      <w:r>
        <w:rPr>
          <w:rFonts w:hint="eastAsia"/>
        </w:rPr>
        <w:t>西南地区</w:t>
      </w:r>
      <w:r>
        <w:t>：重庆、四川、贵州、云南、西藏；</w:t>
      </w:r>
    </w:p>
    <w:p>
      <w:pPr>
        <w:pStyle w:val="40"/>
      </w:pPr>
      <w:r>
        <w:rPr>
          <w:rFonts w:hint="eastAsia"/>
        </w:rPr>
        <w:t>中部地区</w:t>
      </w:r>
      <w:r>
        <w:t>：湖北、河南；</w:t>
      </w:r>
    </w:p>
    <w:p>
      <w:pPr>
        <w:pStyle w:val="40"/>
      </w:pPr>
      <w:r>
        <w:rPr>
          <w:rFonts w:hint="eastAsia"/>
        </w:rPr>
        <w:t>西北地区</w:t>
      </w:r>
      <w:r>
        <w:t>：</w:t>
      </w:r>
      <w:r>
        <w:rPr>
          <w:rFonts w:hint="eastAsia"/>
        </w:rPr>
        <w:t>陕西</w:t>
      </w:r>
      <w:r>
        <w:t>、甘肃、宁夏、青海、新疆；</w:t>
      </w:r>
    </w:p>
    <w:p>
      <w:pPr>
        <w:pStyle w:val="40"/>
      </w:pPr>
      <w:r>
        <w:rPr>
          <w:rFonts w:hint="eastAsia"/>
        </w:rPr>
        <w:t>东北地区：黑龙江、吉林、辽宁。</w:t>
      </w:r>
    </w:p>
    <w:p>
      <w:pPr>
        <w:pStyle w:val="25"/>
      </w:pPr>
      <w:bookmarkStart w:id="16" w:name="_Toc471310908"/>
      <w:bookmarkStart w:id="17" w:name="_Toc469038305"/>
      <w:r>
        <w:rPr>
          <w:rFonts w:hint="eastAsia"/>
        </w:rPr>
        <w:t>四、2016届</w:t>
      </w:r>
      <w:r>
        <w:t>毕业生</w:t>
      </w:r>
      <w:r>
        <w:rPr>
          <w:rFonts w:hint="eastAsia"/>
        </w:rPr>
        <w:t>民族分布情况</w:t>
      </w:r>
      <w:bookmarkEnd w:id="16"/>
      <w:bookmarkEnd w:id="17"/>
    </w:p>
    <w:p>
      <w:pPr>
        <w:pStyle w:val="40"/>
      </w:pPr>
      <w:r>
        <w:rPr>
          <w:rFonts w:hint="eastAsia"/>
        </w:rPr>
        <w:t>学校2016届</w:t>
      </w:r>
      <w:r>
        <w:t>毕业生中，</w:t>
      </w:r>
      <w:r>
        <w:rPr>
          <w:rFonts w:hint="eastAsia"/>
        </w:rPr>
        <w:t>有</w:t>
      </w:r>
      <w:r>
        <w:t>汉族</w:t>
      </w:r>
      <w:r>
        <w:rPr>
          <w:rFonts w:hint="eastAsia"/>
        </w:rPr>
        <w:t>学生3306人</w:t>
      </w:r>
      <w:r>
        <w:t>，</w:t>
      </w:r>
      <w:r>
        <w:rPr>
          <w:rFonts w:hint="eastAsia"/>
        </w:rPr>
        <w:t>占</w:t>
      </w:r>
      <w:r>
        <w:t>毕业生总人数的</w:t>
      </w:r>
      <w:r>
        <w:rPr>
          <w:rFonts w:hint="eastAsia"/>
        </w:rPr>
        <w:t>95.55</w:t>
      </w:r>
      <w:r>
        <w:t>%；有</w:t>
      </w:r>
      <w:r>
        <w:rPr>
          <w:rFonts w:hint="eastAsia"/>
        </w:rPr>
        <w:t>少数</w:t>
      </w:r>
      <w:r>
        <w:t>民族学生</w:t>
      </w:r>
      <w:r>
        <w:rPr>
          <w:rFonts w:hint="eastAsia"/>
        </w:rPr>
        <w:t>154人</w:t>
      </w:r>
      <w:r>
        <w:t>，占毕业生总人数的</w:t>
      </w:r>
      <w:r>
        <w:rPr>
          <w:rFonts w:hint="eastAsia"/>
        </w:rPr>
        <w:t>4.45</w:t>
      </w:r>
      <w:r>
        <w:t>%</w:t>
      </w:r>
      <w:r>
        <w:rPr>
          <w:rFonts w:hint="eastAsia"/>
        </w:rPr>
        <w:t>。</w:t>
      </w:r>
      <w:r>
        <w:t>在</w:t>
      </w:r>
      <w:r>
        <w:rPr>
          <w:rFonts w:hint="eastAsia"/>
        </w:rPr>
        <w:t>各</w:t>
      </w:r>
      <w:r>
        <w:t>少数民族</w:t>
      </w:r>
      <w:r>
        <w:rPr>
          <w:rFonts w:hint="eastAsia"/>
        </w:rPr>
        <w:t>中</w:t>
      </w:r>
      <w:r>
        <w:t>，土家族毕业生人数最多，有</w:t>
      </w:r>
      <w:r>
        <w:rPr>
          <w:rFonts w:hint="eastAsia"/>
        </w:rPr>
        <w:t>65人</w:t>
      </w:r>
      <w:r>
        <w:t>，占少数民族毕业生总人数的</w:t>
      </w:r>
      <w:r>
        <w:rPr>
          <w:rFonts w:hint="eastAsia"/>
        </w:rPr>
        <w:t>42.21</w:t>
      </w:r>
      <w:r>
        <w:t>%</w:t>
      </w:r>
      <w:r>
        <w:rPr>
          <w:rFonts w:hint="eastAsia"/>
        </w:rPr>
        <w:t>，</w:t>
      </w:r>
      <w:r>
        <w:t>仡佬族、维吾尔族、黎族、朝鲜族、布依族</w:t>
      </w:r>
      <w:r>
        <w:rPr>
          <w:rFonts w:hint="eastAsia"/>
        </w:rPr>
        <w:t>和</w:t>
      </w:r>
      <w:r>
        <w:t>布朗族</w:t>
      </w:r>
      <w:r>
        <w:rPr>
          <w:rFonts w:hint="eastAsia"/>
        </w:rPr>
        <w:t>人数最少</w:t>
      </w:r>
      <w:r>
        <w:t>，各仅一人。具体</w:t>
      </w:r>
      <w:r>
        <w:rPr>
          <w:rFonts w:hint="eastAsia"/>
        </w:rPr>
        <w:t>分布</w:t>
      </w:r>
      <w:r>
        <w:t>见图</w:t>
      </w:r>
      <w:r>
        <w:rPr>
          <w:rFonts w:hint="eastAsia"/>
        </w:rPr>
        <w:t>1</w:t>
      </w:r>
      <w:r>
        <w:t>-3。</w:t>
      </w:r>
    </w:p>
    <w:p>
      <w:pPr>
        <w:spacing w:before="156" w:after="156"/>
        <w:jc w:val="center"/>
      </w:pPr>
      <w:r>
        <w:drawing>
          <wp:inline distT="0" distB="0" distL="0" distR="0">
            <wp:extent cx="4971415" cy="3256915"/>
            <wp:effectExtent l="0" t="0" r="63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4971429" cy="3257143"/>
                    </a:xfrm>
                    <a:prstGeom prst="rect">
                      <a:avLst/>
                    </a:prstGeom>
                  </pic:spPr>
                </pic:pic>
              </a:graphicData>
            </a:graphic>
          </wp:inline>
        </w:drawing>
      </w:r>
    </w:p>
    <w:p>
      <w:pPr>
        <w:pStyle w:val="8"/>
        <w:jc w:val="center"/>
        <w:rPr>
          <w:rFonts w:asciiTheme="minorEastAsia" w:hAnsiTheme="minorEastAsia" w:eastAsiaTheme="minorEastAsia"/>
          <w:sz w:val="18"/>
          <w:szCs w:val="18"/>
        </w:rPr>
      </w:pPr>
      <w:bookmarkStart w:id="18" w:name="_Toc470887062"/>
      <w:r>
        <w:rPr>
          <w:rFonts w:hint="eastAsia" w:asciiTheme="minorEastAsia" w:hAnsiTheme="minorEastAsia" w:eastAsiaTheme="minorEastAsia"/>
          <w:sz w:val="18"/>
          <w:szCs w:val="18"/>
        </w:rPr>
        <w:t>图1-</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图1-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3</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2016届</w:t>
      </w:r>
      <w:r>
        <w:rPr>
          <w:rFonts w:asciiTheme="minorEastAsia" w:hAnsiTheme="minorEastAsia" w:eastAsiaTheme="minorEastAsia"/>
          <w:sz w:val="18"/>
          <w:szCs w:val="18"/>
        </w:rPr>
        <w:t>毕业生民族分布情况</w:t>
      </w:r>
      <w:bookmarkEnd w:id="18"/>
    </w:p>
    <w:p>
      <w:pPr>
        <w:pStyle w:val="25"/>
        <w:spacing w:before="156" w:after="156"/>
      </w:pPr>
      <w:bookmarkStart w:id="19" w:name="_Toc469038306"/>
      <w:bookmarkStart w:id="20" w:name="_Toc471310909"/>
      <w:r>
        <w:rPr>
          <w:rFonts w:hint="eastAsia"/>
        </w:rPr>
        <w:t>五、2016届</w:t>
      </w:r>
      <w:r>
        <w:t>毕业生</w:t>
      </w:r>
      <w:r>
        <w:rPr>
          <w:rFonts w:hint="eastAsia"/>
        </w:rPr>
        <w:t>学院分布情况</w:t>
      </w:r>
      <w:bookmarkEnd w:id="19"/>
      <w:bookmarkEnd w:id="20"/>
    </w:p>
    <w:p>
      <w:pPr>
        <w:pStyle w:val="40"/>
      </w:pPr>
      <w:r>
        <w:rPr>
          <w:rFonts w:hint="eastAsia"/>
        </w:rPr>
        <w:t>各</w:t>
      </w:r>
      <w:r>
        <w:t>学院中，</w:t>
      </w:r>
      <w:r>
        <w:rPr>
          <w:rFonts w:hint="eastAsia"/>
        </w:rPr>
        <w:t>2016届</w:t>
      </w:r>
      <w:r>
        <w:t>毕业生分布人数前三的是会计学院、财政金融学院和工商管理学院，分别有</w:t>
      </w:r>
      <w:r>
        <w:rPr>
          <w:rFonts w:hint="eastAsia"/>
        </w:rPr>
        <w:t>846人</w:t>
      </w:r>
      <w:r>
        <w:t>、403</w:t>
      </w:r>
      <w:r>
        <w:rPr>
          <w:rFonts w:hint="eastAsia"/>
        </w:rPr>
        <w:t>人</w:t>
      </w:r>
      <w:r>
        <w:t>和</w:t>
      </w:r>
      <w:r>
        <w:rPr>
          <w:rFonts w:hint="eastAsia"/>
        </w:rPr>
        <w:t>399人</w:t>
      </w:r>
      <w:r>
        <w:t>，各占比</w:t>
      </w:r>
      <w:r>
        <w:rPr>
          <w:rFonts w:hint="eastAsia"/>
        </w:rPr>
        <w:t>24.45</w:t>
      </w:r>
      <w:r>
        <w:t>%、11.6</w:t>
      </w:r>
      <w:r>
        <w:rPr>
          <w:rFonts w:hint="eastAsia"/>
          <w:lang w:val="en-US" w:eastAsia="zh-CN"/>
        </w:rPr>
        <w:t>5</w:t>
      </w:r>
      <w:r>
        <w:t>%和</w:t>
      </w:r>
      <w:r>
        <w:rPr>
          <w:rFonts w:hint="eastAsia"/>
        </w:rPr>
        <w:t>11.53</w:t>
      </w:r>
      <w:r>
        <w:t>%</w:t>
      </w:r>
      <w:r>
        <w:rPr>
          <w:rFonts w:hint="eastAsia"/>
        </w:rPr>
        <w:t>。</w:t>
      </w:r>
      <w:r>
        <w:t>人数</w:t>
      </w:r>
      <w:r>
        <w:rPr>
          <w:rFonts w:hint="eastAsia"/>
        </w:rPr>
        <w:t>最少</w:t>
      </w:r>
      <w:r>
        <w:t>的学院为公共管理学院，有</w:t>
      </w:r>
      <w:r>
        <w:rPr>
          <w:rFonts w:hint="eastAsia"/>
        </w:rPr>
        <w:t>66人</w:t>
      </w:r>
      <w:r>
        <w:t>，占比</w:t>
      </w:r>
      <w:r>
        <w:rPr>
          <w:rFonts w:hint="eastAsia"/>
        </w:rPr>
        <w:t>1.91</w:t>
      </w:r>
      <w:r>
        <w:t>%</w:t>
      </w:r>
      <w:r>
        <w:rPr>
          <w:rFonts w:hint="eastAsia"/>
        </w:rPr>
        <w:t>。</w:t>
      </w:r>
      <w:r>
        <w:t>具体</w:t>
      </w:r>
      <w:r>
        <w:rPr>
          <w:rFonts w:hint="eastAsia"/>
        </w:rPr>
        <w:t>分布情况</w:t>
      </w:r>
      <w:r>
        <w:t>见图</w:t>
      </w:r>
      <w:r>
        <w:rPr>
          <w:rFonts w:hint="eastAsia"/>
        </w:rPr>
        <w:t>1</w:t>
      </w:r>
      <w:r>
        <w:t>-4。</w:t>
      </w:r>
    </w:p>
    <w:p>
      <w:pPr>
        <w:spacing w:before="156" w:after="156"/>
      </w:pPr>
      <w:r>
        <w:drawing>
          <wp:inline distT="0" distB="0" distL="0" distR="0">
            <wp:extent cx="5229225" cy="3514725"/>
            <wp:effectExtent l="0" t="0" r="9525" b="952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8"/>
        <w:jc w:val="center"/>
        <w:rPr>
          <w:rFonts w:asciiTheme="minorEastAsia" w:hAnsiTheme="minorEastAsia" w:eastAsiaTheme="minorEastAsia"/>
          <w:sz w:val="18"/>
        </w:rPr>
      </w:pPr>
      <w:bookmarkStart w:id="21" w:name="_Toc470887063"/>
      <w:r>
        <w:rPr>
          <w:rFonts w:hint="eastAsia" w:asciiTheme="minorEastAsia" w:hAnsiTheme="minorEastAsia" w:eastAsiaTheme="minorEastAsia"/>
          <w:sz w:val="18"/>
        </w:rPr>
        <w:t>图1-</w:t>
      </w:r>
      <w:r>
        <w:rPr>
          <w:rFonts w:asciiTheme="minorEastAsia" w:hAnsiTheme="minorEastAsia" w:eastAsiaTheme="minorEastAsia"/>
          <w:sz w:val="18"/>
        </w:rPr>
        <w:fldChar w:fldCharType="begin"/>
      </w:r>
      <w:r>
        <w:rPr>
          <w:rFonts w:asciiTheme="minorEastAsia" w:hAnsiTheme="minorEastAsia" w:eastAsiaTheme="minorEastAsia"/>
          <w:sz w:val="18"/>
        </w:rPr>
        <w:instrText xml:space="preserve"> </w:instrText>
      </w:r>
      <w:r>
        <w:rPr>
          <w:rFonts w:hint="eastAsia" w:asciiTheme="minorEastAsia" w:hAnsiTheme="minorEastAsia" w:eastAsiaTheme="minorEastAsia"/>
          <w:sz w:val="18"/>
        </w:rPr>
        <w:instrText xml:space="preserve">SEQ 图1- \* ARABIC</w:instrText>
      </w:r>
      <w:r>
        <w:rPr>
          <w:rFonts w:asciiTheme="minorEastAsia" w:hAnsiTheme="minorEastAsia" w:eastAsiaTheme="minorEastAsia"/>
          <w:sz w:val="18"/>
        </w:rPr>
        <w:instrText xml:space="preserve"> </w:instrText>
      </w:r>
      <w:r>
        <w:rPr>
          <w:rFonts w:asciiTheme="minorEastAsia" w:hAnsiTheme="minorEastAsia" w:eastAsiaTheme="minorEastAsia"/>
          <w:sz w:val="18"/>
        </w:rPr>
        <w:fldChar w:fldCharType="separate"/>
      </w:r>
      <w:r>
        <w:rPr>
          <w:rFonts w:asciiTheme="minorEastAsia" w:hAnsiTheme="minorEastAsia" w:eastAsiaTheme="minorEastAsia"/>
          <w:sz w:val="18"/>
        </w:rPr>
        <w:t>4</w:t>
      </w:r>
      <w:r>
        <w:rPr>
          <w:rFonts w:asciiTheme="minorEastAsia" w:hAnsiTheme="minorEastAsia" w:eastAsiaTheme="minorEastAsia"/>
          <w:sz w:val="18"/>
        </w:rPr>
        <w:fldChar w:fldCharType="end"/>
      </w:r>
      <w:r>
        <w:rPr>
          <w:rFonts w:asciiTheme="minorEastAsia" w:hAnsiTheme="minorEastAsia" w:eastAsiaTheme="minorEastAsia"/>
          <w:sz w:val="18"/>
        </w:rPr>
        <w:t xml:space="preserve"> </w:t>
      </w:r>
      <w:r>
        <w:rPr>
          <w:rFonts w:hint="eastAsia" w:asciiTheme="minorEastAsia" w:hAnsiTheme="minorEastAsia" w:eastAsiaTheme="minorEastAsia"/>
          <w:sz w:val="18"/>
        </w:rPr>
        <w:t>2016届</w:t>
      </w:r>
      <w:r>
        <w:rPr>
          <w:rFonts w:asciiTheme="minorEastAsia" w:hAnsiTheme="minorEastAsia" w:eastAsiaTheme="minorEastAsia"/>
          <w:sz w:val="18"/>
        </w:rPr>
        <w:t>毕业生</w:t>
      </w:r>
      <w:r>
        <w:rPr>
          <w:rFonts w:hint="eastAsia" w:asciiTheme="minorEastAsia" w:hAnsiTheme="minorEastAsia" w:eastAsiaTheme="minorEastAsia"/>
          <w:sz w:val="18"/>
        </w:rPr>
        <w:t>学院分布情况</w:t>
      </w:r>
      <w:bookmarkEnd w:id="21"/>
    </w:p>
    <w:p>
      <w:pPr>
        <w:pStyle w:val="25"/>
        <w:spacing w:before="156" w:after="156"/>
      </w:pPr>
      <w:bookmarkStart w:id="22" w:name="_Toc469038307"/>
      <w:bookmarkStart w:id="23" w:name="_Toc471310910"/>
      <w:r>
        <w:rPr>
          <w:rFonts w:hint="eastAsia"/>
        </w:rPr>
        <w:t>六、2016届</w:t>
      </w:r>
      <w:r>
        <w:t>毕业生</w:t>
      </w:r>
      <w:r>
        <w:rPr>
          <w:rFonts w:hint="eastAsia"/>
        </w:rPr>
        <w:t>专业分布情况</w:t>
      </w:r>
      <w:bookmarkEnd w:id="22"/>
      <w:bookmarkEnd w:id="23"/>
    </w:p>
    <w:p>
      <w:pPr>
        <w:pStyle w:val="40"/>
      </w:pPr>
      <w:r>
        <w:rPr>
          <w:rFonts w:hint="eastAsia"/>
        </w:rPr>
        <w:t>学校</w:t>
      </w:r>
      <w:r>
        <w:t>各专业中，</w:t>
      </w:r>
      <w:r>
        <w:rPr>
          <w:rFonts w:hint="eastAsia"/>
        </w:rPr>
        <w:t>毕业生</w:t>
      </w:r>
      <w:r>
        <w:t>人数在</w:t>
      </w:r>
      <w:r>
        <w:rPr>
          <w:rFonts w:hint="eastAsia"/>
        </w:rPr>
        <w:t>100人以上</w:t>
      </w:r>
      <w:r>
        <w:t>的有</w:t>
      </w:r>
      <w:r>
        <w:rPr>
          <w:rFonts w:hint="eastAsia"/>
        </w:rPr>
        <w:t>10个</w:t>
      </w:r>
      <w:r>
        <w:t>，其中排名前三的专业是会计学、金融学和财务管理专业，分别有</w:t>
      </w:r>
      <w:r>
        <w:rPr>
          <w:rFonts w:hint="eastAsia"/>
        </w:rPr>
        <w:t>509人</w:t>
      </w:r>
      <w:r>
        <w:t>、333</w:t>
      </w:r>
      <w:r>
        <w:rPr>
          <w:rFonts w:hint="eastAsia"/>
        </w:rPr>
        <w:t>人</w:t>
      </w:r>
      <w:r>
        <w:t>和</w:t>
      </w:r>
      <w:r>
        <w:rPr>
          <w:rFonts w:hint="eastAsia"/>
        </w:rPr>
        <w:t>290人</w:t>
      </w:r>
      <w:r>
        <w:t>，各占比</w:t>
      </w:r>
      <w:r>
        <w:rPr>
          <w:rFonts w:hint="eastAsia"/>
        </w:rPr>
        <w:t>14.71</w:t>
      </w:r>
      <w:r>
        <w:t>%、9.62%和</w:t>
      </w:r>
      <w:r>
        <w:rPr>
          <w:rFonts w:hint="eastAsia"/>
        </w:rPr>
        <w:t>8.38</w:t>
      </w:r>
      <w:r>
        <w:t>%</w:t>
      </w:r>
      <w:r>
        <w:rPr>
          <w:rFonts w:hint="eastAsia"/>
        </w:rPr>
        <w:t>。毕业生</w:t>
      </w:r>
      <w:r>
        <w:t>人数少于三十人的专业有四个，分别为</w:t>
      </w:r>
      <w:r>
        <w:rPr>
          <w:rFonts w:hint="eastAsia"/>
        </w:rPr>
        <w:t>市场营销（专科）</w:t>
      </w:r>
      <w:r>
        <w:t>、保险、信息与计算</w:t>
      </w:r>
      <w:r>
        <w:rPr>
          <w:rFonts w:hint="eastAsia"/>
        </w:rPr>
        <w:t>科学</w:t>
      </w:r>
      <w:r>
        <w:t>及</w:t>
      </w:r>
      <w:r>
        <w:rPr>
          <w:rFonts w:hint="eastAsia"/>
        </w:rPr>
        <w:t>社会工作</w:t>
      </w:r>
      <w:r>
        <w:t>，</w:t>
      </w:r>
      <w:r>
        <w:rPr>
          <w:rFonts w:hint="eastAsia"/>
        </w:rPr>
        <w:t>其中</w:t>
      </w:r>
      <w:r>
        <w:t>社会工作</w:t>
      </w:r>
      <w:r>
        <w:rPr>
          <w:rFonts w:hint="eastAsia"/>
        </w:rPr>
        <w:t>专业</w:t>
      </w:r>
      <w:r>
        <w:t>的人数最少，为</w:t>
      </w:r>
      <w:r>
        <w:rPr>
          <w:rFonts w:hint="eastAsia"/>
        </w:rPr>
        <w:t>23人</w:t>
      </w:r>
      <w:r>
        <w:t>，占比仅</w:t>
      </w:r>
      <w:r>
        <w:rPr>
          <w:rFonts w:hint="eastAsia"/>
        </w:rPr>
        <w:t>0.66</w:t>
      </w:r>
      <w:r>
        <w:t>%</w:t>
      </w:r>
      <w:r>
        <w:rPr>
          <w:rFonts w:hint="eastAsia"/>
        </w:rPr>
        <w:t>。</w:t>
      </w:r>
    </w:p>
    <w:p>
      <w:pPr>
        <w:pStyle w:val="8"/>
        <w:jc w:val="center"/>
        <w:rPr>
          <w:rFonts w:asciiTheme="minorEastAsia" w:hAnsiTheme="minorEastAsia" w:eastAsiaTheme="minorEastAsia"/>
          <w:sz w:val="18"/>
          <w:szCs w:val="18"/>
        </w:rPr>
      </w:pPr>
      <w:bookmarkStart w:id="24" w:name="_Toc470886993"/>
      <w:r>
        <w:rPr>
          <w:rFonts w:hint="eastAsia" w:asciiTheme="minorEastAsia" w:hAnsiTheme="minorEastAsia" w:eastAsiaTheme="minorEastAsia"/>
          <w:sz w:val="18"/>
          <w:szCs w:val="18"/>
        </w:rPr>
        <w:t>表1-</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表1-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2</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2016届</w:t>
      </w:r>
      <w:r>
        <w:rPr>
          <w:rFonts w:asciiTheme="minorEastAsia" w:hAnsiTheme="minorEastAsia" w:eastAsiaTheme="minorEastAsia"/>
          <w:sz w:val="18"/>
          <w:szCs w:val="18"/>
        </w:rPr>
        <w:t>毕业生专业分布情况</w:t>
      </w:r>
      <w:bookmarkEnd w:id="24"/>
    </w:p>
    <w:tbl>
      <w:tblPr>
        <w:tblStyle w:val="50"/>
        <w:tblW w:w="8296" w:type="dxa"/>
        <w:tblInd w:w="0" w:type="dxa"/>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
      <w:tblGrid>
        <w:gridCol w:w="3397"/>
        <w:gridCol w:w="2268"/>
        <w:gridCol w:w="2631"/>
      </w:tblGrid>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blHeader/>
        </w:trPr>
        <w:tc>
          <w:tcPr>
            <w:tcW w:w="3397" w:type="dxa"/>
            <w:tcBorders>
              <w:top w:val="single" w:color="ED7D31" w:themeColor="accent2" w:sz="4" w:space="0"/>
              <w:left w:val="single" w:color="ED7D31" w:themeColor="accent2" w:sz="4" w:space="0"/>
              <w:bottom w:val="single" w:color="ED7D31" w:themeColor="accent2" w:sz="4" w:space="0"/>
              <w:right w:val="nil"/>
              <w:insideH w:val="single" w:sz="4" w:space="0"/>
              <w:insideV w:val="nil"/>
            </w:tcBorders>
            <w:shd w:val="clear" w:color="auto" w:fill="ED7D31" w:themeFill="accent2"/>
            <w:vAlign w:val="center"/>
          </w:tcPr>
          <w:p>
            <w:pPr>
              <w:jc w:val="center"/>
              <w:rPr>
                <w:rFonts w:asciiTheme="minorEastAsia" w:hAnsiTheme="minorEastAsia"/>
                <w:b/>
                <w:bCs/>
                <w:color w:val="FFFFFF" w:themeColor="background1"/>
                <w:sz w:val="18"/>
                <w:szCs w:val="18"/>
                <w14:textFill>
                  <w14:solidFill>
                    <w14:schemeClr w14:val="bg1"/>
                  </w14:solidFill>
                </w14:textFill>
              </w:rPr>
            </w:pPr>
            <w:r>
              <w:rPr>
                <w:rFonts w:hint="eastAsia" w:asciiTheme="minorEastAsia" w:hAnsiTheme="minorEastAsia"/>
                <w:b/>
                <w:bCs/>
                <w:color w:val="FFFFFF" w:themeColor="background1"/>
                <w:sz w:val="18"/>
                <w:szCs w:val="18"/>
                <w14:textFill>
                  <w14:solidFill>
                    <w14:schemeClr w14:val="bg1"/>
                  </w14:solidFill>
                </w14:textFill>
              </w:rPr>
              <w:t>专业</w:t>
            </w:r>
          </w:p>
        </w:tc>
        <w:tc>
          <w:tcPr>
            <w:tcW w:w="2268" w:type="dxa"/>
            <w:tcBorders>
              <w:top w:val="single" w:color="ED7D31" w:themeColor="accent2" w:sz="4" w:space="0"/>
              <w:bottom w:val="single" w:color="ED7D31" w:themeColor="accent2" w:sz="4" w:space="0"/>
              <w:right w:val="nil"/>
              <w:insideH w:val="single" w:sz="4" w:space="0"/>
              <w:insideV w:val="nil"/>
            </w:tcBorders>
            <w:shd w:val="clear" w:color="auto" w:fill="ED7D31" w:themeFill="accent2"/>
            <w:vAlign w:val="center"/>
          </w:tcPr>
          <w:p>
            <w:pPr>
              <w:jc w:val="center"/>
              <w:rPr>
                <w:rFonts w:asciiTheme="minorEastAsia" w:hAnsiTheme="minorEastAsia"/>
                <w:b/>
                <w:bCs/>
                <w:color w:val="FFFFFF" w:themeColor="background1"/>
                <w:sz w:val="18"/>
                <w:szCs w:val="18"/>
                <w14:textFill>
                  <w14:solidFill>
                    <w14:schemeClr w14:val="bg1"/>
                  </w14:solidFill>
                </w14:textFill>
              </w:rPr>
            </w:pPr>
            <w:r>
              <w:rPr>
                <w:rFonts w:hint="eastAsia" w:asciiTheme="minorEastAsia" w:hAnsiTheme="minorEastAsia"/>
                <w:b/>
                <w:bCs/>
                <w:color w:val="FFFFFF" w:themeColor="background1"/>
                <w:sz w:val="18"/>
                <w:szCs w:val="18"/>
                <w14:textFill>
                  <w14:solidFill>
                    <w14:schemeClr w14:val="bg1"/>
                  </w14:solidFill>
                </w14:textFill>
              </w:rPr>
              <w:t>人数</w:t>
            </w:r>
          </w:p>
        </w:tc>
        <w:tc>
          <w:tcPr>
            <w:tcW w:w="2631" w:type="dxa"/>
            <w:tcBorders>
              <w:top w:val="single" w:color="ED7D31" w:themeColor="accent2" w:sz="4" w:space="0"/>
              <w:bottom w:val="single" w:color="ED7D31" w:themeColor="accent2" w:sz="4" w:space="0"/>
              <w:right w:val="single" w:color="ED7D31" w:themeColor="accent2" w:sz="4" w:space="0"/>
              <w:insideH w:val="single" w:sz="4" w:space="0"/>
              <w:insideV w:val="nil"/>
            </w:tcBorders>
            <w:shd w:val="clear" w:color="auto" w:fill="ED7D31" w:themeFill="accent2"/>
            <w:vAlign w:val="center"/>
          </w:tcPr>
          <w:p>
            <w:pPr>
              <w:jc w:val="center"/>
              <w:rPr>
                <w:rFonts w:asciiTheme="minorEastAsia" w:hAnsiTheme="minorEastAsia"/>
                <w:b/>
                <w:bCs/>
                <w:color w:val="FFFFFF" w:themeColor="background1"/>
                <w:sz w:val="18"/>
                <w:szCs w:val="18"/>
                <w14:textFill>
                  <w14:solidFill>
                    <w14:schemeClr w14:val="bg1"/>
                  </w14:solidFill>
                </w14:textFill>
              </w:rPr>
            </w:pPr>
            <w:r>
              <w:rPr>
                <w:rFonts w:hint="eastAsia" w:asciiTheme="minorEastAsia" w:hAnsiTheme="minorEastAsia"/>
                <w:b/>
                <w:bCs/>
                <w:color w:val="FFFFFF" w:themeColor="background1"/>
                <w:sz w:val="18"/>
                <w:szCs w:val="18"/>
                <w14:textFill>
                  <w14:solidFill>
                    <w14:schemeClr w14:val="bg1"/>
                  </w14:solidFill>
                </w14:textFill>
              </w:rPr>
              <w:t>比例（%</w:t>
            </w:r>
            <w:r>
              <w:rPr>
                <w:rFonts w:asciiTheme="minorEastAsia" w:hAnsiTheme="minorEastAsia"/>
                <w:b/>
                <w:bCs/>
                <w:color w:val="FFFFFF" w:themeColor="background1"/>
                <w:sz w:val="18"/>
                <w:szCs w:val="18"/>
                <w14:textFill>
                  <w14:solidFill>
                    <w14:schemeClr w14:val="bg1"/>
                  </w14:solidFill>
                </w14:textFill>
              </w:rPr>
              <w:t>）</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397" w:type="dxa"/>
            <w:shd w:val="clear" w:color="auto" w:fill="FBE4D5" w:themeFill="accent2" w:themeFillTint="33"/>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会计学</w:t>
            </w:r>
          </w:p>
        </w:tc>
        <w:tc>
          <w:tcPr>
            <w:tcW w:w="226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509</w:t>
            </w:r>
          </w:p>
        </w:tc>
        <w:tc>
          <w:tcPr>
            <w:tcW w:w="2631"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14.71</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397" w:type="dxa"/>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金融学</w:t>
            </w:r>
          </w:p>
        </w:tc>
        <w:tc>
          <w:tcPr>
            <w:tcW w:w="2268" w:type="dxa"/>
            <w:vAlign w:val="center"/>
          </w:tcPr>
          <w:p>
            <w:pPr>
              <w:jc w:val="center"/>
              <w:rPr>
                <w:rFonts w:asciiTheme="minorEastAsia" w:hAnsiTheme="minorEastAsia"/>
                <w:sz w:val="18"/>
                <w:szCs w:val="18"/>
              </w:rPr>
            </w:pPr>
            <w:r>
              <w:rPr>
                <w:rFonts w:hint="eastAsia" w:asciiTheme="minorEastAsia" w:hAnsiTheme="minorEastAsia"/>
                <w:sz w:val="18"/>
                <w:szCs w:val="18"/>
              </w:rPr>
              <w:t>333</w:t>
            </w:r>
          </w:p>
        </w:tc>
        <w:tc>
          <w:tcPr>
            <w:tcW w:w="2631" w:type="dxa"/>
            <w:vAlign w:val="center"/>
          </w:tcPr>
          <w:p>
            <w:pPr>
              <w:jc w:val="center"/>
              <w:rPr>
                <w:rFonts w:asciiTheme="minorEastAsia" w:hAnsiTheme="minorEastAsia"/>
                <w:sz w:val="18"/>
                <w:szCs w:val="18"/>
              </w:rPr>
            </w:pPr>
            <w:r>
              <w:rPr>
                <w:rFonts w:hint="eastAsia" w:asciiTheme="minorEastAsia" w:hAnsiTheme="minorEastAsia"/>
                <w:sz w:val="18"/>
                <w:szCs w:val="18"/>
              </w:rPr>
              <w:t>9.62</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397" w:type="dxa"/>
            <w:shd w:val="clear" w:color="auto" w:fill="FBE4D5" w:themeFill="accent2" w:themeFillTint="33"/>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财务管理</w:t>
            </w:r>
          </w:p>
        </w:tc>
        <w:tc>
          <w:tcPr>
            <w:tcW w:w="226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290</w:t>
            </w:r>
          </w:p>
        </w:tc>
        <w:tc>
          <w:tcPr>
            <w:tcW w:w="2631"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8.38</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397" w:type="dxa"/>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艺术设计</w:t>
            </w:r>
          </w:p>
        </w:tc>
        <w:tc>
          <w:tcPr>
            <w:tcW w:w="2268" w:type="dxa"/>
            <w:vAlign w:val="center"/>
          </w:tcPr>
          <w:p>
            <w:pPr>
              <w:jc w:val="center"/>
              <w:rPr>
                <w:rFonts w:asciiTheme="minorEastAsia" w:hAnsiTheme="minorEastAsia"/>
                <w:sz w:val="18"/>
                <w:szCs w:val="18"/>
              </w:rPr>
            </w:pPr>
            <w:r>
              <w:rPr>
                <w:rFonts w:hint="eastAsia" w:asciiTheme="minorEastAsia" w:hAnsiTheme="minorEastAsia"/>
                <w:sz w:val="18"/>
                <w:szCs w:val="18"/>
              </w:rPr>
              <w:t>228</w:t>
            </w:r>
          </w:p>
        </w:tc>
        <w:tc>
          <w:tcPr>
            <w:tcW w:w="2631" w:type="dxa"/>
            <w:vAlign w:val="center"/>
          </w:tcPr>
          <w:p>
            <w:pPr>
              <w:jc w:val="center"/>
              <w:rPr>
                <w:rFonts w:asciiTheme="minorEastAsia" w:hAnsiTheme="minorEastAsia"/>
                <w:sz w:val="18"/>
                <w:szCs w:val="18"/>
              </w:rPr>
            </w:pPr>
            <w:r>
              <w:rPr>
                <w:rFonts w:hint="eastAsia" w:asciiTheme="minorEastAsia" w:hAnsiTheme="minorEastAsia"/>
                <w:sz w:val="18"/>
                <w:szCs w:val="18"/>
              </w:rPr>
              <w:t>6.59</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397" w:type="dxa"/>
            <w:shd w:val="clear" w:color="auto" w:fill="FBE4D5" w:themeFill="accent2" w:themeFillTint="33"/>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会计（专科）</w:t>
            </w:r>
          </w:p>
        </w:tc>
        <w:tc>
          <w:tcPr>
            <w:tcW w:w="226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165</w:t>
            </w:r>
          </w:p>
        </w:tc>
        <w:tc>
          <w:tcPr>
            <w:tcW w:w="2631"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4.77</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397" w:type="dxa"/>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国际经济与贸易</w:t>
            </w:r>
          </w:p>
        </w:tc>
        <w:tc>
          <w:tcPr>
            <w:tcW w:w="2268" w:type="dxa"/>
            <w:vAlign w:val="center"/>
          </w:tcPr>
          <w:p>
            <w:pPr>
              <w:jc w:val="center"/>
              <w:rPr>
                <w:rFonts w:asciiTheme="minorEastAsia" w:hAnsiTheme="minorEastAsia"/>
                <w:sz w:val="18"/>
                <w:szCs w:val="18"/>
              </w:rPr>
            </w:pPr>
            <w:r>
              <w:rPr>
                <w:rFonts w:hint="eastAsia" w:asciiTheme="minorEastAsia" w:hAnsiTheme="minorEastAsia"/>
                <w:sz w:val="18"/>
                <w:szCs w:val="18"/>
              </w:rPr>
              <w:t>152</w:t>
            </w:r>
          </w:p>
        </w:tc>
        <w:tc>
          <w:tcPr>
            <w:tcW w:w="2631" w:type="dxa"/>
            <w:vAlign w:val="center"/>
          </w:tcPr>
          <w:p>
            <w:pPr>
              <w:jc w:val="center"/>
              <w:rPr>
                <w:rFonts w:asciiTheme="minorEastAsia" w:hAnsiTheme="minorEastAsia"/>
                <w:sz w:val="18"/>
                <w:szCs w:val="18"/>
              </w:rPr>
            </w:pPr>
            <w:r>
              <w:rPr>
                <w:rFonts w:hint="eastAsia" w:asciiTheme="minorEastAsia" w:hAnsiTheme="minorEastAsia"/>
                <w:sz w:val="18"/>
                <w:szCs w:val="18"/>
              </w:rPr>
              <w:t>4.39</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397" w:type="dxa"/>
            <w:shd w:val="clear" w:color="auto" w:fill="FBE4D5" w:themeFill="accent2" w:themeFillTint="33"/>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电子信息工程</w:t>
            </w:r>
          </w:p>
        </w:tc>
        <w:tc>
          <w:tcPr>
            <w:tcW w:w="226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128</w:t>
            </w:r>
          </w:p>
        </w:tc>
        <w:tc>
          <w:tcPr>
            <w:tcW w:w="2631"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3.70</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397" w:type="dxa"/>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市场营销（本科）</w:t>
            </w:r>
          </w:p>
        </w:tc>
        <w:tc>
          <w:tcPr>
            <w:tcW w:w="2268" w:type="dxa"/>
            <w:vAlign w:val="center"/>
          </w:tcPr>
          <w:p>
            <w:pPr>
              <w:jc w:val="center"/>
              <w:rPr>
                <w:rFonts w:asciiTheme="minorEastAsia" w:hAnsiTheme="minorEastAsia"/>
                <w:sz w:val="18"/>
                <w:szCs w:val="18"/>
              </w:rPr>
            </w:pPr>
            <w:r>
              <w:rPr>
                <w:rFonts w:hint="eastAsia" w:asciiTheme="minorEastAsia" w:hAnsiTheme="minorEastAsia"/>
                <w:sz w:val="18"/>
                <w:szCs w:val="18"/>
              </w:rPr>
              <w:t>127</w:t>
            </w:r>
          </w:p>
        </w:tc>
        <w:tc>
          <w:tcPr>
            <w:tcW w:w="2631" w:type="dxa"/>
            <w:vAlign w:val="center"/>
          </w:tcPr>
          <w:p>
            <w:pPr>
              <w:jc w:val="center"/>
              <w:rPr>
                <w:rFonts w:asciiTheme="minorEastAsia" w:hAnsiTheme="minorEastAsia"/>
                <w:sz w:val="18"/>
                <w:szCs w:val="18"/>
              </w:rPr>
            </w:pPr>
            <w:r>
              <w:rPr>
                <w:rFonts w:hint="eastAsia" w:asciiTheme="minorEastAsia" w:hAnsiTheme="minorEastAsia"/>
                <w:sz w:val="18"/>
                <w:szCs w:val="18"/>
              </w:rPr>
              <w:t>3.67</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397" w:type="dxa"/>
            <w:shd w:val="clear" w:color="auto" w:fill="FBE4D5" w:themeFill="accent2" w:themeFillTint="33"/>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物流管理</w:t>
            </w:r>
          </w:p>
        </w:tc>
        <w:tc>
          <w:tcPr>
            <w:tcW w:w="226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106</w:t>
            </w:r>
          </w:p>
        </w:tc>
        <w:tc>
          <w:tcPr>
            <w:tcW w:w="2631"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3.06</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397" w:type="dxa"/>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英语</w:t>
            </w:r>
          </w:p>
        </w:tc>
        <w:tc>
          <w:tcPr>
            <w:tcW w:w="2268" w:type="dxa"/>
            <w:vAlign w:val="center"/>
          </w:tcPr>
          <w:p>
            <w:pPr>
              <w:jc w:val="center"/>
              <w:rPr>
                <w:rFonts w:asciiTheme="minorEastAsia" w:hAnsiTheme="minorEastAsia"/>
                <w:sz w:val="18"/>
                <w:szCs w:val="18"/>
              </w:rPr>
            </w:pPr>
            <w:r>
              <w:rPr>
                <w:rFonts w:hint="eastAsia" w:asciiTheme="minorEastAsia" w:hAnsiTheme="minorEastAsia"/>
                <w:sz w:val="18"/>
                <w:szCs w:val="18"/>
              </w:rPr>
              <w:t>105</w:t>
            </w:r>
          </w:p>
        </w:tc>
        <w:tc>
          <w:tcPr>
            <w:tcW w:w="2631" w:type="dxa"/>
            <w:vAlign w:val="center"/>
          </w:tcPr>
          <w:p>
            <w:pPr>
              <w:jc w:val="center"/>
              <w:rPr>
                <w:rFonts w:asciiTheme="minorEastAsia" w:hAnsiTheme="minorEastAsia"/>
                <w:sz w:val="18"/>
                <w:szCs w:val="18"/>
              </w:rPr>
            </w:pPr>
            <w:r>
              <w:rPr>
                <w:rFonts w:hint="eastAsia" w:asciiTheme="minorEastAsia" w:hAnsiTheme="minorEastAsia"/>
                <w:sz w:val="18"/>
                <w:szCs w:val="18"/>
              </w:rPr>
              <w:t>3.03</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397" w:type="dxa"/>
            <w:shd w:val="clear" w:color="auto" w:fill="FBE4D5" w:themeFill="accent2" w:themeFillTint="33"/>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工商管理</w:t>
            </w:r>
          </w:p>
        </w:tc>
        <w:tc>
          <w:tcPr>
            <w:tcW w:w="226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97</w:t>
            </w:r>
          </w:p>
        </w:tc>
        <w:tc>
          <w:tcPr>
            <w:tcW w:w="2631"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2.80</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397" w:type="dxa"/>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计算机科学与技术</w:t>
            </w:r>
          </w:p>
        </w:tc>
        <w:tc>
          <w:tcPr>
            <w:tcW w:w="2268" w:type="dxa"/>
            <w:vAlign w:val="center"/>
          </w:tcPr>
          <w:p>
            <w:pPr>
              <w:jc w:val="center"/>
              <w:rPr>
                <w:rFonts w:asciiTheme="minorEastAsia" w:hAnsiTheme="minorEastAsia"/>
                <w:sz w:val="18"/>
                <w:szCs w:val="18"/>
              </w:rPr>
            </w:pPr>
            <w:r>
              <w:rPr>
                <w:rFonts w:hint="eastAsia" w:asciiTheme="minorEastAsia" w:hAnsiTheme="minorEastAsia"/>
                <w:sz w:val="18"/>
                <w:szCs w:val="18"/>
              </w:rPr>
              <w:t>88</w:t>
            </w:r>
          </w:p>
        </w:tc>
        <w:tc>
          <w:tcPr>
            <w:tcW w:w="2631" w:type="dxa"/>
            <w:vAlign w:val="center"/>
          </w:tcPr>
          <w:p>
            <w:pPr>
              <w:jc w:val="center"/>
              <w:rPr>
                <w:rFonts w:asciiTheme="minorEastAsia" w:hAnsiTheme="minorEastAsia"/>
                <w:sz w:val="18"/>
                <w:szCs w:val="18"/>
              </w:rPr>
            </w:pPr>
            <w:r>
              <w:rPr>
                <w:rFonts w:hint="eastAsia" w:asciiTheme="minorEastAsia" w:hAnsiTheme="minorEastAsia"/>
                <w:sz w:val="18"/>
                <w:szCs w:val="18"/>
              </w:rPr>
              <w:t>2.54</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397" w:type="dxa"/>
            <w:shd w:val="clear" w:color="auto" w:fill="FBE4D5" w:themeFill="accent2" w:themeFillTint="33"/>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法学</w:t>
            </w:r>
          </w:p>
        </w:tc>
        <w:tc>
          <w:tcPr>
            <w:tcW w:w="226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80</w:t>
            </w:r>
          </w:p>
        </w:tc>
        <w:tc>
          <w:tcPr>
            <w:tcW w:w="2631"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2.31</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397" w:type="dxa"/>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人力资源管理</w:t>
            </w:r>
          </w:p>
        </w:tc>
        <w:tc>
          <w:tcPr>
            <w:tcW w:w="2268" w:type="dxa"/>
            <w:vAlign w:val="center"/>
          </w:tcPr>
          <w:p>
            <w:pPr>
              <w:jc w:val="center"/>
              <w:rPr>
                <w:rFonts w:asciiTheme="minorEastAsia" w:hAnsiTheme="minorEastAsia"/>
                <w:sz w:val="18"/>
                <w:szCs w:val="18"/>
              </w:rPr>
            </w:pPr>
            <w:r>
              <w:rPr>
                <w:rFonts w:hint="eastAsia" w:asciiTheme="minorEastAsia" w:hAnsiTheme="minorEastAsia"/>
                <w:sz w:val="18"/>
                <w:szCs w:val="18"/>
              </w:rPr>
              <w:t>69</w:t>
            </w:r>
          </w:p>
        </w:tc>
        <w:tc>
          <w:tcPr>
            <w:tcW w:w="2631" w:type="dxa"/>
            <w:vAlign w:val="center"/>
          </w:tcPr>
          <w:p>
            <w:pPr>
              <w:jc w:val="center"/>
              <w:rPr>
                <w:rFonts w:asciiTheme="minorEastAsia" w:hAnsiTheme="minorEastAsia"/>
                <w:sz w:val="18"/>
                <w:szCs w:val="18"/>
              </w:rPr>
            </w:pPr>
            <w:r>
              <w:rPr>
                <w:rFonts w:hint="eastAsia" w:asciiTheme="minorEastAsia" w:hAnsiTheme="minorEastAsia"/>
                <w:sz w:val="18"/>
                <w:szCs w:val="18"/>
              </w:rPr>
              <w:t>1.99</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397" w:type="dxa"/>
            <w:shd w:val="clear" w:color="auto" w:fill="FBE4D5" w:themeFill="accent2" w:themeFillTint="33"/>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汉语言文学</w:t>
            </w:r>
          </w:p>
        </w:tc>
        <w:tc>
          <w:tcPr>
            <w:tcW w:w="226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66</w:t>
            </w:r>
          </w:p>
        </w:tc>
        <w:tc>
          <w:tcPr>
            <w:tcW w:w="2631"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1.91</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397" w:type="dxa"/>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信息管理与信息系统</w:t>
            </w:r>
          </w:p>
        </w:tc>
        <w:tc>
          <w:tcPr>
            <w:tcW w:w="2268" w:type="dxa"/>
            <w:vAlign w:val="center"/>
          </w:tcPr>
          <w:p>
            <w:pPr>
              <w:jc w:val="center"/>
              <w:rPr>
                <w:rFonts w:asciiTheme="minorEastAsia" w:hAnsiTheme="minorEastAsia"/>
                <w:sz w:val="18"/>
                <w:szCs w:val="18"/>
              </w:rPr>
            </w:pPr>
            <w:r>
              <w:rPr>
                <w:rFonts w:hint="eastAsia" w:asciiTheme="minorEastAsia" w:hAnsiTheme="minorEastAsia"/>
                <w:sz w:val="18"/>
                <w:szCs w:val="18"/>
              </w:rPr>
              <w:t>66</w:t>
            </w:r>
          </w:p>
        </w:tc>
        <w:tc>
          <w:tcPr>
            <w:tcW w:w="2631" w:type="dxa"/>
            <w:vAlign w:val="center"/>
          </w:tcPr>
          <w:p>
            <w:pPr>
              <w:jc w:val="center"/>
              <w:rPr>
                <w:rFonts w:asciiTheme="minorEastAsia" w:hAnsiTheme="minorEastAsia"/>
                <w:sz w:val="18"/>
                <w:szCs w:val="18"/>
              </w:rPr>
            </w:pPr>
            <w:r>
              <w:rPr>
                <w:rFonts w:hint="eastAsia" w:asciiTheme="minorEastAsia" w:hAnsiTheme="minorEastAsia"/>
                <w:sz w:val="18"/>
                <w:szCs w:val="18"/>
              </w:rPr>
              <w:t>1.91</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397" w:type="dxa"/>
            <w:shd w:val="clear" w:color="auto" w:fill="FBE4D5" w:themeFill="accent2" w:themeFillTint="33"/>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商务英语</w:t>
            </w:r>
          </w:p>
        </w:tc>
        <w:tc>
          <w:tcPr>
            <w:tcW w:w="226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64</w:t>
            </w:r>
          </w:p>
        </w:tc>
        <w:tc>
          <w:tcPr>
            <w:tcW w:w="2631"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1.85</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397" w:type="dxa"/>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动画</w:t>
            </w:r>
          </w:p>
        </w:tc>
        <w:tc>
          <w:tcPr>
            <w:tcW w:w="2268" w:type="dxa"/>
            <w:vAlign w:val="center"/>
          </w:tcPr>
          <w:p>
            <w:pPr>
              <w:jc w:val="center"/>
              <w:rPr>
                <w:rFonts w:asciiTheme="minorEastAsia" w:hAnsiTheme="minorEastAsia"/>
                <w:sz w:val="18"/>
                <w:szCs w:val="18"/>
              </w:rPr>
            </w:pPr>
            <w:r>
              <w:rPr>
                <w:rFonts w:hint="eastAsia" w:asciiTheme="minorEastAsia" w:hAnsiTheme="minorEastAsia"/>
                <w:sz w:val="18"/>
                <w:szCs w:val="18"/>
              </w:rPr>
              <w:t>57</w:t>
            </w:r>
          </w:p>
        </w:tc>
        <w:tc>
          <w:tcPr>
            <w:tcW w:w="2631" w:type="dxa"/>
            <w:vAlign w:val="center"/>
          </w:tcPr>
          <w:p>
            <w:pPr>
              <w:jc w:val="center"/>
              <w:rPr>
                <w:rFonts w:asciiTheme="minorEastAsia" w:hAnsiTheme="minorEastAsia"/>
                <w:sz w:val="18"/>
                <w:szCs w:val="18"/>
              </w:rPr>
            </w:pPr>
            <w:r>
              <w:rPr>
                <w:rFonts w:hint="eastAsia" w:asciiTheme="minorEastAsia" w:hAnsiTheme="minorEastAsia"/>
                <w:sz w:val="18"/>
                <w:szCs w:val="18"/>
              </w:rPr>
              <w:t>1.65</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397" w:type="dxa"/>
            <w:shd w:val="clear" w:color="auto" w:fill="FBE4D5" w:themeFill="accent2" w:themeFillTint="33"/>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经济学</w:t>
            </w:r>
          </w:p>
        </w:tc>
        <w:tc>
          <w:tcPr>
            <w:tcW w:w="226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53</w:t>
            </w:r>
          </w:p>
        </w:tc>
        <w:tc>
          <w:tcPr>
            <w:tcW w:w="2631"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1.53</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397" w:type="dxa"/>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贸易经济</w:t>
            </w:r>
          </w:p>
        </w:tc>
        <w:tc>
          <w:tcPr>
            <w:tcW w:w="2268" w:type="dxa"/>
            <w:vAlign w:val="center"/>
          </w:tcPr>
          <w:p>
            <w:pPr>
              <w:jc w:val="center"/>
              <w:rPr>
                <w:rFonts w:asciiTheme="minorEastAsia" w:hAnsiTheme="minorEastAsia"/>
                <w:sz w:val="18"/>
                <w:szCs w:val="18"/>
              </w:rPr>
            </w:pPr>
            <w:r>
              <w:rPr>
                <w:rFonts w:hint="eastAsia" w:asciiTheme="minorEastAsia" w:hAnsiTheme="minorEastAsia"/>
                <w:sz w:val="18"/>
                <w:szCs w:val="18"/>
              </w:rPr>
              <w:t>51</w:t>
            </w:r>
          </w:p>
        </w:tc>
        <w:tc>
          <w:tcPr>
            <w:tcW w:w="2631" w:type="dxa"/>
            <w:vAlign w:val="center"/>
          </w:tcPr>
          <w:p>
            <w:pPr>
              <w:jc w:val="center"/>
              <w:rPr>
                <w:rFonts w:asciiTheme="minorEastAsia" w:hAnsiTheme="minorEastAsia"/>
                <w:sz w:val="18"/>
                <w:szCs w:val="18"/>
              </w:rPr>
            </w:pPr>
            <w:r>
              <w:rPr>
                <w:rFonts w:hint="eastAsia" w:asciiTheme="minorEastAsia" w:hAnsiTheme="minorEastAsia"/>
                <w:sz w:val="18"/>
                <w:szCs w:val="18"/>
              </w:rPr>
              <w:t>1.47</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397" w:type="dxa"/>
            <w:shd w:val="clear" w:color="auto" w:fill="FBE4D5" w:themeFill="accent2" w:themeFillTint="33"/>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审计学</w:t>
            </w:r>
          </w:p>
        </w:tc>
        <w:tc>
          <w:tcPr>
            <w:tcW w:w="226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47</w:t>
            </w:r>
          </w:p>
        </w:tc>
        <w:tc>
          <w:tcPr>
            <w:tcW w:w="2631"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1.36</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397" w:type="dxa"/>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行政管理</w:t>
            </w:r>
          </w:p>
        </w:tc>
        <w:tc>
          <w:tcPr>
            <w:tcW w:w="2268" w:type="dxa"/>
            <w:vAlign w:val="center"/>
          </w:tcPr>
          <w:p>
            <w:pPr>
              <w:jc w:val="center"/>
              <w:rPr>
                <w:rFonts w:asciiTheme="minorEastAsia" w:hAnsiTheme="minorEastAsia"/>
                <w:sz w:val="18"/>
                <w:szCs w:val="18"/>
              </w:rPr>
            </w:pPr>
            <w:r>
              <w:rPr>
                <w:rFonts w:hint="eastAsia" w:asciiTheme="minorEastAsia" w:hAnsiTheme="minorEastAsia"/>
                <w:sz w:val="18"/>
                <w:szCs w:val="18"/>
              </w:rPr>
              <w:t>43</w:t>
            </w:r>
          </w:p>
        </w:tc>
        <w:tc>
          <w:tcPr>
            <w:tcW w:w="2631" w:type="dxa"/>
            <w:vAlign w:val="center"/>
          </w:tcPr>
          <w:p>
            <w:pPr>
              <w:jc w:val="center"/>
              <w:rPr>
                <w:rFonts w:asciiTheme="minorEastAsia" w:hAnsiTheme="minorEastAsia"/>
                <w:sz w:val="18"/>
                <w:szCs w:val="18"/>
              </w:rPr>
            </w:pPr>
            <w:r>
              <w:rPr>
                <w:rFonts w:hint="eastAsia" w:asciiTheme="minorEastAsia" w:hAnsiTheme="minorEastAsia"/>
                <w:sz w:val="18"/>
                <w:szCs w:val="18"/>
              </w:rPr>
              <w:t>1.24</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397" w:type="dxa"/>
            <w:shd w:val="clear" w:color="auto" w:fill="FBE4D5" w:themeFill="accent2" w:themeFillTint="33"/>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财政学</w:t>
            </w:r>
          </w:p>
        </w:tc>
        <w:tc>
          <w:tcPr>
            <w:tcW w:w="226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42</w:t>
            </w:r>
          </w:p>
        </w:tc>
        <w:tc>
          <w:tcPr>
            <w:tcW w:w="2631"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1.21</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397" w:type="dxa"/>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酒店管理</w:t>
            </w:r>
          </w:p>
        </w:tc>
        <w:tc>
          <w:tcPr>
            <w:tcW w:w="2268" w:type="dxa"/>
            <w:vAlign w:val="center"/>
          </w:tcPr>
          <w:p>
            <w:pPr>
              <w:jc w:val="center"/>
              <w:rPr>
                <w:rFonts w:asciiTheme="minorEastAsia" w:hAnsiTheme="minorEastAsia"/>
                <w:sz w:val="18"/>
                <w:szCs w:val="18"/>
              </w:rPr>
            </w:pPr>
            <w:r>
              <w:rPr>
                <w:rFonts w:hint="eastAsia" w:asciiTheme="minorEastAsia" w:hAnsiTheme="minorEastAsia"/>
                <w:sz w:val="18"/>
                <w:szCs w:val="18"/>
              </w:rPr>
              <w:t>41</w:t>
            </w:r>
          </w:p>
        </w:tc>
        <w:tc>
          <w:tcPr>
            <w:tcW w:w="2631" w:type="dxa"/>
            <w:vAlign w:val="center"/>
          </w:tcPr>
          <w:p>
            <w:pPr>
              <w:jc w:val="center"/>
              <w:rPr>
                <w:rFonts w:asciiTheme="minorEastAsia" w:hAnsiTheme="minorEastAsia"/>
                <w:sz w:val="18"/>
                <w:szCs w:val="18"/>
              </w:rPr>
            </w:pPr>
            <w:r>
              <w:rPr>
                <w:rFonts w:hint="eastAsia" w:asciiTheme="minorEastAsia" w:hAnsiTheme="minorEastAsia"/>
                <w:sz w:val="18"/>
                <w:szCs w:val="18"/>
              </w:rPr>
              <w:t>1.18</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397" w:type="dxa"/>
            <w:shd w:val="clear" w:color="auto" w:fill="FBE4D5" w:themeFill="accent2" w:themeFillTint="33"/>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工程管理</w:t>
            </w:r>
          </w:p>
        </w:tc>
        <w:tc>
          <w:tcPr>
            <w:tcW w:w="226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40</w:t>
            </w:r>
          </w:p>
        </w:tc>
        <w:tc>
          <w:tcPr>
            <w:tcW w:w="2631"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1.16</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397" w:type="dxa"/>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旅游管理</w:t>
            </w:r>
          </w:p>
        </w:tc>
        <w:tc>
          <w:tcPr>
            <w:tcW w:w="2268" w:type="dxa"/>
            <w:vAlign w:val="center"/>
          </w:tcPr>
          <w:p>
            <w:pPr>
              <w:jc w:val="center"/>
              <w:rPr>
                <w:rFonts w:asciiTheme="minorEastAsia" w:hAnsiTheme="minorEastAsia"/>
                <w:sz w:val="18"/>
                <w:szCs w:val="18"/>
              </w:rPr>
            </w:pPr>
            <w:r>
              <w:rPr>
                <w:rFonts w:hint="eastAsia" w:asciiTheme="minorEastAsia" w:hAnsiTheme="minorEastAsia"/>
                <w:sz w:val="18"/>
                <w:szCs w:val="18"/>
              </w:rPr>
              <w:t>38</w:t>
            </w:r>
          </w:p>
        </w:tc>
        <w:tc>
          <w:tcPr>
            <w:tcW w:w="2631" w:type="dxa"/>
            <w:vAlign w:val="center"/>
          </w:tcPr>
          <w:p>
            <w:pPr>
              <w:jc w:val="center"/>
              <w:rPr>
                <w:rFonts w:asciiTheme="minorEastAsia" w:hAnsiTheme="minorEastAsia"/>
                <w:sz w:val="18"/>
                <w:szCs w:val="18"/>
              </w:rPr>
            </w:pPr>
            <w:r>
              <w:rPr>
                <w:rFonts w:hint="eastAsia" w:asciiTheme="minorEastAsia" w:hAnsiTheme="minorEastAsia"/>
                <w:sz w:val="18"/>
                <w:szCs w:val="18"/>
              </w:rPr>
              <w:t>1.10</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397" w:type="dxa"/>
            <w:shd w:val="clear" w:color="auto" w:fill="FBE4D5" w:themeFill="accent2" w:themeFillTint="33"/>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电子商务</w:t>
            </w:r>
          </w:p>
        </w:tc>
        <w:tc>
          <w:tcPr>
            <w:tcW w:w="226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37</w:t>
            </w:r>
          </w:p>
        </w:tc>
        <w:tc>
          <w:tcPr>
            <w:tcW w:w="2631"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1.07</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397" w:type="dxa"/>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软件工程</w:t>
            </w:r>
          </w:p>
        </w:tc>
        <w:tc>
          <w:tcPr>
            <w:tcW w:w="2268" w:type="dxa"/>
            <w:vAlign w:val="center"/>
          </w:tcPr>
          <w:p>
            <w:pPr>
              <w:jc w:val="center"/>
              <w:rPr>
                <w:rFonts w:asciiTheme="minorEastAsia" w:hAnsiTheme="minorEastAsia"/>
                <w:sz w:val="18"/>
                <w:szCs w:val="18"/>
              </w:rPr>
            </w:pPr>
            <w:r>
              <w:rPr>
                <w:rFonts w:hint="eastAsia" w:asciiTheme="minorEastAsia" w:hAnsiTheme="minorEastAsia"/>
                <w:sz w:val="18"/>
                <w:szCs w:val="18"/>
              </w:rPr>
              <w:t>35</w:t>
            </w:r>
          </w:p>
        </w:tc>
        <w:tc>
          <w:tcPr>
            <w:tcW w:w="2631" w:type="dxa"/>
            <w:vAlign w:val="center"/>
          </w:tcPr>
          <w:p>
            <w:pPr>
              <w:jc w:val="center"/>
              <w:rPr>
                <w:rFonts w:asciiTheme="minorEastAsia" w:hAnsiTheme="minorEastAsia"/>
                <w:sz w:val="18"/>
                <w:szCs w:val="18"/>
              </w:rPr>
            </w:pPr>
            <w:r>
              <w:rPr>
                <w:rFonts w:hint="eastAsia" w:asciiTheme="minorEastAsia" w:hAnsiTheme="minorEastAsia"/>
                <w:sz w:val="18"/>
                <w:szCs w:val="18"/>
              </w:rPr>
              <w:t>1.01</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397" w:type="dxa"/>
            <w:shd w:val="clear" w:color="auto" w:fill="FBE4D5" w:themeFill="accent2" w:themeFillTint="33"/>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统计学</w:t>
            </w:r>
          </w:p>
        </w:tc>
        <w:tc>
          <w:tcPr>
            <w:tcW w:w="226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35</w:t>
            </w:r>
          </w:p>
        </w:tc>
        <w:tc>
          <w:tcPr>
            <w:tcW w:w="2631"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1.01</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397" w:type="dxa"/>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会展经济与管理</w:t>
            </w:r>
          </w:p>
        </w:tc>
        <w:tc>
          <w:tcPr>
            <w:tcW w:w="2268" w:type="dxa"/>
            <w:vAlign w:val="center"/>
          </w:tcPr>
          <w:p>
            <w:pPr>
              <w:jc w:val="center"/>
              <w:rPr>
                <w:rFonts w:asciiTheme="minorEastAsia" w:hAnsiTheme="minorEastAsia"/>
                <w:sz w:val="18"/>
                <w:szCs w:val="18"/>
              </w:rPr>
            </w:pPr>
            <w:r>
              <w:rPr>
                <w:rFonts w:hint="eastAsia" w:asciiTheme="minorEastAsia" w:hAnsiTheme="minorEastAsia"/>
                <w:sz w:val="18"/>
                <w:szCs w:val="18"/>
              </w:rPr>
              <w:t>34</w:t>
            </w:r>
          </w:p>
        </w:tc>
        <w:tc>
          <w:tcPr>
            <w:tcW w:w="2631" w:type="dxa"/>
            <w:vAlign w:val="center"/>
          </w:tcPr>
          <w:p>
            <w:pPr>
              <w:jc w:val="center"/>
              <w:rPr>
                <w:rFonts w:asciiTheme="minorEastAsia" w:hAnsiTheme="minorEastAsia"/>
                <w:sz w:val="18"/>
                <w:szCs w:val="18"/>
              </w:rPr>
            </w:pPr>
            <w:r>
              <w:rPr>
                <w:rFonts w:hint="eastAsia" w:asciiTheme="minorEastAsia" w:hAnsiTheme="minorEastAsia"/>
                <w:sz w:val="18"/>
                <w:szCs w:val="18"/>
              </w:rPr>
              <w:t>0.98</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397" w:type="dxa"/>
            <w:shd w:val="clear" w:color="auto" w:fill="FBE4D5" w:themeFill="accent2" w:themeFillTint="33"/>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编辑出版学</w:t>
            </w:r>
          </w:p>
        </w:tc>
        <w:tc>
          <w:tcPr>
            <w:tcW w:w="226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33</w:t>
            </w:r>
          </w:p>
        </w:tc>
        <w:tc>
          <w:tcPr>
            <w:tcW w:w="2631"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0.95</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397" w:type="dxa"/>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广告学</w:t>
            </w:r>
          </w:p>
        </w:tc>
        <w:tc>
          <w:tcPr>
            <w:tcW w:w="2268" w:type="dxa"/>
            <w:vAlign w:val="center"/>
          </w:tcPr>
          <w:p>
            <w:pPr>
              <w:jc w:val="center"/>
              <w:rPr>
                <w:rFonts w:asciiTheme="minorEastAsia" w:hAnsiTheme="minorEastAsia"/>
                <w:sz w:val="18"/>
                <w:szCs w:val="18"/>
              </w:rPr>
            </w:pPr>
            <w:r>
              <w:rPr>
                <w:rFonts w:hint="eastAsia" w:asciiTheme="minorEastAsia" w:hAnsiTheme="minorEastAsia"/>
                <w:sz w:val="18"/>
                <w:szCs w:val="18"/>
              </w:rPr>
              <w:t>32</w:t>
            </w:r>
          </w:p>
        </w:tc>
        <w:tc>
          <w:tcPr>
            <w:tcW w:w="2631" w:type="dxa"/>
            <w:vAlign w:val="center"/>
          </w:tcPr>
          <w:p>
            <w:pPr>
              <w:jc w:val="center"/>
              <w:rPr>
                <w:rFonts w:asciiTheme="minorEastAsia" w:hAnsiTheme="minorEastAsia"/>
                <w:sz w:val="18"/>
                <w:szCs w:val="18"/>
              </w:rPr>
            </w:pPr>
            <w:r>
              <w:rPr>
                <w:rFonts w:hint="eastAsia" w:asciiTheme="minorEastAsia" w:hAnsiTheme="minorEastAsia"/>
                <w:sz w:val="18"/>
                <w:szCs w:val="18"/>
              </w:rPr>
              <w:t>0.92</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397" w:type="dxa"/>
            <w:shd w:val="clear" w:color="auto" w:fill="FBE4D5" w:themeFill="accent2" w:themeFillTint="33"/>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数学与应用数学</w:t>
            </w:r>
          </w:p>
        </w:tc>
        <w:tc>
          <w:tcPr>
            <w:tcW w:w="226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32</w:t>
            </w:r>
          </w:p>
        </w:tc>
        <w:tc>
          <w:tcPr>
            <w:tcW w:w="2631"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0.92</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397" w:type="dxa"/>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文化产业管理</w:t>
            </w:r>
          </w:p>
        </w:tc>
        <w:tc>
          <w:tcPr>
            <w:tcW w:w="2268" w:type="dxa"/>
            <w:vAlign w:val="center"/>
          </w:tcPr>
          <w:p>
            <w:pPr>
              <w:jc w:val="center"/>
              <w:rPr>
                <w:rFonts w:asciiTheme="minorEastAsia" w:hAnsiTheme="minorEastAsia"/>
                <w:sz w:val="18"/>
                <w:szCs w:val="18"/>
              </w:rPr>
            </w:pPr>
            <w:r>
              <w:rPr>
                <w:rFonts w:hint="eastAsia" w:asciiTheme="minorEastAsia" w:hAnsiTheme="minorEastAsia"/>
                <w:sz w:val="18"/>
                <w:szCs w:val="18"/>
              </w:rPr>
              <w:t>31</w:t>
            </w:r>
          </w:p>
        </w:tc>
        <w:tc>
          <w:tcPr>
            <w:tcW w:w="2631" w:type="dxa"/>
            <w:vAlign w:val="center"/>
          </w:tcPr>
          <w:p>
            <w:pPr>
              <w:jc w:val="center"/>
              <w:rPr>
                <w:rFonts w:asciiTheme="minorEastAsia" w:hAnsiTheme="minorEastAsia"/>
                <w:sz w:val="18"/>
                <w:szCs w:val="18"/>
              </w:rPr>
            </w:pPr>
            <w:r>
              <w:rPr>
                <w:rFonts w:hint="eastAsia" w:asciiTheme="minorEastAsia" w:hAnsiTheme="minorEastAsia"/>
                <w:sz w:val="18"/>
                <w:szCs w:val="18"/>
              </w:rPr>
              <w:t>0.90</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397" w:type="dxa"/>
            <w:shd w:val="clear" w:color="auto" w:fill="FBE4D5" w:themeFill="accent2" w:themeFillTint="33"/>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市场营销（专科）</w:t>
            </w:r>
          </w:p>
        </w:tc>
        <w:tc>
          <w:tcPr>
            <w:tcW w:w="226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29</w:t>
            </w:r>
          </w:p>
        </w:tc>
        <w:tc>
          <w:tcPr>
            <w:tcW w:w="2631"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0.84</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397" w:type="dxa"/>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保险</w:t>
            </w:r>
          </w:p>
        </w:tc>
        <w:tc>
          <w:tcPr>
            <w:tcW w:w="2268" w:type="dxa"/>
            <w:vAlign w:val="center"/>
          </w:tcPr>
          <w:p>
            <w:pPr>
              <w:jc w:val="center"/>
              <w:rPr>
                <w:rFonts w:asciiTheme="minorEastAsia" w:hAnsiTheme="minorEastAsia"/>
                <w:sz w:val="18"/>
                <w:szCs w:val="18"/>
              </w:rPr>
            </w:pPr>
            <w:r>
              <w:rPr>
                <w:rFonts w:hint="eastAsia" w:asciiTheme="minorEastAsia" w:hAnsiTheme="minorEastAsia"/>
                <w:sz w:val="18"/>
                <w:szCs w:val="18"/>
              </w:rPr>
              <w:t>28</w:t>
            </w:r>
          </w:p>
        </w:tc>
        <w:tc>
          <w:tcPr>
            <w:tcW w:w="2631" w:type="dxa"/>
            <w:vAlign w:val="center"/>
          </w:tcPr>
          <w:p>
            <w:pPr>
              <w:jc w:val="center"/>
              <w:rPr>
                <w:rFonts w:asciiTheme="minorEastAsia" w:hAnsiTheme="minorEastAsia"/>
                <w:sz w:val="18"/>
                <w:szCs w:val="18"/>
              </w:rPr>
            </w:pPr>
            <w:r>
              <w:rPr>
                <w:rFonts w:hint="eastAsia" w:asciiTheme="minorEastAsia" w:hAnsiTheme="minorEastAsia"/>
                <w:sz w:val="18"/>
                <w:szCs w:val="18"/>
              </w:rPr>
              <w:t>0.81</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397" w:type="dxa"/>
            <w:shd w:val="clear" w:color="auto" w:fill="FBE4D5" w:themeFill="accent2" w:themeFillTint="33"/>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信息与计算科学</w:t>
            </w:r>
          </w:p>
        </w:tc>
        <w:tc>
          <w:tcPr>
            <w:tcW w:w="226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26</w:t>
            </w:r>
          </w:p>
        </w:tc>
        <w:tc>
          <w:tcPr>
            <w:tcW w:w="2631"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0.75</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397" w:type="dxa"/>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社会工作</w:t>
            </w:r>
          </w:p>
        </w:tc>
        <w:tc>
          <w:tcPr>
            <w:tcW w:w="2268" w:type="dxa"/>
            <w:vAlign w:val="center"/>
          </w:tcPr>
          <w:p>
            <w:pPr>
              <w:jc w:val="center"/>
              <w:rPr>
                <w:rFonts w:asciiTheme="minorEastAsia" w:hAnsiTheme="minorEastAsia"/>
                <w:sz w:val="18"/>
                <w:szCs w:val="18"/>
              </w:rPr>
            </w:pPr>
            <w:r>
              <w:rPr>
                <w:rFonts w:hint="eastAsia" w:asciiTheme="minorEastAsia" w:hAnsiTheme="minorEastAsia"/>
                <w:sz w:val="18"/>
                <w:szCs w:val="18"/>
              </w:rPr>
              <w:t>23</w:t>
            </w:r>
          </w:p>
        </w:tc>
        <w:tc>
          <w:tcPr>
            <w:tcW w:w="2631" w:type="dxa"/>
            <w:vAlign w:val="center"/>
          </w:tcPr>
          <w:p>
            <w:pPr>
              <w:jc w:val="center"/>
              <w:rPr>
                <w:rFonts w:asciiTheme="minorEastAsia" w:hAnsiTheme="minorEastAsia"/>
                <w:sz w:val="18"/>
                <w:szCs w:val="18"/>
              </w:rPr>
            </w:pPr>
            <w:r>
              <w:rPr>
                <w:rFonts w:hint="eastAsia" w:asciiTheme="minorEastAsia" w:hAnsiTheme="minorEastAsia"/>
                <w:sz w:val="18"/>
                <w:szCs w:val="18"/>
              </w:rPr>
              <w:t>0.66</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397" w:type="dxa"/>
            <w:shd w:val="clear" w:color="auto" w:fill="FBE4D5" w:themeFill="accent2" w:themeFillTint="33"/>
            <w:vAlign w:val="center"/>
          </w:tcPr>
          <w:p>
            <w:pPr>
              <w:jc w:val="center"/>
              <w:rPr>
                <w:rFonts w:asciiTheme="minorEastAsia" w:hAnsiTheme="minorEastAsia"/>
                <w:b/>
                <w:bCs/>
                <w:sz w:val="18"/>
                <w:szCs w:val="18"/>
              </w:rPr>
            </w:pPr>
            <w:r>
              <w:rPr>
                <w:rFonts w:hint="eastAsia" w:asciiTheme="minorEastAsia" w:hAnsiTheme="minorEastAsia"/>
                <w:b/>
                <w:bCs/>
                <w:sz w:val="18"/>
                <w:szCs w:val="18"/>
              </w:rPr>
              <w:t>总计</w:t>
            </w:r>
          </w:p>
        </w:tc>
        <w:tc>
          <w:tcPr>
            <w:tcW w:w="2268" w:type="dxa"/>
            <w:shd w:val="clear" w:color="auto" w:fill="FBE4D5" w:themeFill="accent2" w:themeFillTint="33"/>
            <w:vAlign w:val="center"/>
          </w:tcPr>
          <w:p>
            <w:pPr>
              <w:jc w:val="center"/>
              <w:rPr>
                <w:rFonts w:asciiTheme="minorEastAsia" w:hAnsiTheme="minorEastAsia"/>
                <w:b/>
                <w:sz w:val="18"/>
                <w:szCs w:val="18"/>
              </w:rPr>
            </w:pPr>
            <w:r>
              <w:rPr>
                <w:rFonts w:hint="eastAsia" w:asciiTheme="minorEastAsia" w:hAnsiTheme="minorEastAsia"/>
                <w:b/>
                <w:sz w:val="18"/>
                <w:szCs w:val="18"/>
              </w:rPr>
              <w:t>3460</w:t>
            </w:r>
          </w:p>
        </w:tc>
        <w:tc>
          <w:tcPr>
            <w:tcW w:w="2631" w:type="dxa"/>
            <w:shd w:val="clear" w:color="auto" w:fill="FBE4D5" w:themeFill="accent2" w:themeFillTint="33"/>
            <w:vAlign w:val="center"/>
          </w:tcPr>
          <w:p>
            <w:pPr>
              <w:jc w:val="center"/>
              <w:rPr>
                <w:rFonts w:asciiTheme="minorEastAsia" w:hAnsiTheme="minorEastAsia"/>
                <w:b/>
                <w:sz w:val="18"/>
                <w:szCs w:val="18"/>
              </w:rPr>
            </w:pPr>
            <w:r>
              <w:rPr>
                <w:rFonts w:hint="eastAsia" w:asciiTheme="minorEastAsia" w:hAnsiTheme="minorEastAsia"/>
                <w:b/>
                <w:sz w:val="18"/>
                <w:szCs w:val="18"/>
              </w:rPr>
              <w:t>100.00</w:t>
            </w:r>
          </w:p>
        </w:tc>
      </w:tr>
    </w:tbl>
    <w:p>
      <w:pPr>
        <w:spacing w:before="156" w:after="156"/>
      </w:pPr>
    </w:p>
    <w:p>
      <w:pPr>
        <w:pStyle w:val="25"/>
        <w:spacing w:before="156" w:after="156"/>
      </w:pPr>
      <w:bookmarkStart w:id="25" w:name="_Toc469038308"/>
      <w:bookmarkStart w:id="26" w:name="_Toc471310911"/>
      <w:r>
        <w:rPr>
          <w:rFonts w:hint="eastAsia"/>
        </w:rPr>
        <w:t>七、2016届</w:t>
      </w:r>
      <w:r>
        <w:t>毕业生</w:t>
      </w:r>
      <w:r>
        <w:rPr>
          <w:rFonts w:hint="eastAsia"/>
        </w:rPr>
        <w:t>不同学历层次</w:t>
      </w:r>
      <w:r>
        <w:t>困难生</w:t>
      </w:r>
      <w:r>
        <w:rPr>
          <w:rFonts w:hint="eastAsia"/>
        </w:rPr>
        <w:t>分布情况</w:t>
      </w:r>
      <w:bookmarkEnd w:id="25"/>
      <w:bookmarkEnd w:id="26"/>
    </w:p>
    <w:p>
      <w:pPr>
        <w:pStyle w:val="40"/>
      </w:pPr>
      <w:r>
        <w:rPr>
          <w:rFonts w:hint="eastAsia"/>
        </w:rPr>
        <w:t>总体来说</w:t>
      </w:r>
      <w:r>
        <w:t>，</w:t>
      </w:r>
      <w:r>
        <w:rPr>
          <w:rFonts w:hint="eastAsia"/>
        </w:rPr>
        <w:t>2016届</w:t>
      </w:r>
      <w:r>
        <w:t>毕业生</w:t>
      </w:r>
      <w:r>
        <w:rPr>
          <w:rFonts w:hint="eastAsia"/>
        </w:rPr>
        <w:t>以</w:t>
      </w:r>
      <w:r>
        <w:t>非困难生为主，有</w:t>
      </w:r>
      <w:r>
        <w:rPr>
          <w:rFonts w:hint="eastAsia"/>
        </w:rPr>
        <w:t>3044人</w:t>
      </w:r>
      <w:r>
        <w:t>，占比</w:t>
      </w:r>
      <w:r>
        <w:rPr>
          <w:rFonts w:hint="eastAsia"/>
        </w:rPr>
        <w:t>87.98</w:t>
      </w:r>
      <w:r>
        <w:t>%。困难</w:t>
      </w:r>
      <w:r>
        <w:rPr>
          <w:rFonts w:hint="eastAsia"/>
        </w:rPr>
        <w:t>生各</w:t>
      </w:r>
      <w:r>
        <w:t>类型</w:t>
      </w:r>
      <w:r>
        <w:rPr>
          <w:rFonts w:hint="eastAsia"/>
        </w:rPr>
        <w:t>中</w:t>
      </w:r>
      <w:r>
        <w:t>，家庭经济困难与就业期望过高</w:t>
      </w:r>
      <w:r>
        <w:rPr>
          <w:rFonts w:hint="eastAsia"/>
        </w:rPr>
        <w:t>是</w:t>
      </w:r>
      <w:r>
        <w:t>人数较多的类型</w:t>
      </w:r>
      <w:r>
        <w:rPr>
          <w:rFonts w:hint="eastAsia"/>
        </w:rPr>
        <w:t>，</w:t>
      </w:r>
      <w:r>
        <w:t>分别为</w:t>
      </w:r>
      <w:r>
        <w:rPr>
          <w:rFonts w:hint="eastAsia"/>
        </w:rPr>
        <w:t>238人、99人</w:t>
      </w:r>
      <w:r>
        <w:t>，各</w:t>
      </w:r>
      <w:r>
        <w:rPr>
          <w:rFonts w:hint="eastAsia"/>
        </w:rPr>
        <w:t>自</w:t>
      </w:r>
      <w:r>
        <w:t>占比</w:t>
      </w:r>
      <w:r>
        <w:rPr>
          <w:rFonts w:hint="eastAsia"/>
        </w:rPr>
        <w:t>6.88</w:t>
      </w:r>
      <w:r>
        <w:t>%</w:t>
      </w:r>
      <w:r>
        <w:rPr>
          <w:rFonts w:hint="eastAsia"/>
        </w:rPr>
        <w:t>、2.86</w:t>
      </w:r>
      <w:r>
        <w:t>%</w:t>
      </w:r>
      <w:r>
        <w:rPr>
          <w:rFonts w:hint="eastAsia"/>
        </w:rPr>
        <w:t>。</w:t>
      </w:r>
    </w:p>
    <w:p>
      <w:pPr>
        <w:pStyle w:val="40"/>
      </w:pPr>
      <w:r>
        <w:rPr>
          <w:rFonts w:hint="eastAsia"/>
        </w:rPr>
        <w:t>分</w:t>
      </w:r>
      <w:r>
        <w:t>学历层次来看，本科毕业生</w:t>
      </w:r>
      <w:r>
        <w:rPr>
          <w:rFonts w:hint="eastAsia"/>
        </w:rPr>
        <w:t>非困难</w:t>
      </w:r>
      <w:r>
        <w:t>生与困难生各类型人数分布趋势与总体基本一致，</w:t>
      </w:r>
      <w:r>
        <w:rPr>
          <w:rFonts w:hint="eastAsia"/>
        </w:rPr>
        <w:t>非困难生</w:t>
      </w:r>
      <w:r>
        <w:t>有</w:t>
      </w:r>
      <w:r>
        <w:rPr>
          <w:rFonts w:hint="eastAsia"/>
        </w:rPr>
        <w:t>2867人</w:t>
      </w:r>
      <w:r>
        <w:t>，占比</w:t>
      </w:r>
      <w:r>
        <w:rPr>
          <w:rFonts w:hint="eastAsia"/>
        </w:rPr>
        <w:t>87.78</w:t>
      </w:r>
      <w:r>
        <w:t>%</w:t>
      </w:r>
      <w:r>
        <w:rPr>
          <w:rFonts w:hint="eastAsia"/>
        </w:rPr>
        <w:t>；</w:t>
      </w:r>
      <w:r>
        <w:t>专科</w:t>
      </w:r>
      <w:r>
        <w:rPr>
          <w:rFonts w:hint="eastAsia"/>
        </w:rPr>
        <w:t>毕业生非困难</w:t>
      </w:r>
      <w:r>
        <w:t>生与困难生各类型人数分布趋势</w:t>
      </w:r>
      <w:r>
        <w:rPr>
          <w:rFonts w:hint="eastAsia"/>
        </w:rPr>
        <w:t>也</w:t>
      </w:r>
      <w:r>
        <w:t>与总体基本一致</w:t>
      </w:r>
      <w:r>
        <w:rPr>
          <w:rFonts w:hint="eastAsia"/>
        </w:rPr>
        <w:t>，其中</w:t>
      </w:r>
      <w:r>
        <w:t>家庭困难和残疾、纯农户家庭、身体残疾和重灾区类别</w:t>
      </w:r>
      <w:r>
        <w:rPr>
          <w:rFonts w:hint="eastAsia"/>
        </w:rPr>
        <w:t>均为0人。</w:t>
      </w:r>
    </w:p>
    <w:p>
      <w:pPr>
        <w:pStyle w:val="8"/>
        <w:jc w:val="center"/>
        <w:rPr>
          <w:rFonts w:asciiTheme="minorEastAsia" w:hAnsiTheme="minorEastAsia" w:eastAsiaTheme="minorEastAsia"/>
          <w:sz w:val="18"/>
        </w:rPr>
      </w:pPr>
      <w:bookmarkStart w:id="27" w:name="_Toc470886994"/>
      <w:r>
        <w:rPr>
          <w:rFonts w:hint="eastAsia" w:asciiTheme="minorEastAsia" w:hAnsiTheme="minorEastAsia" w:eastAsiaTheme="minorEastAsia"/>
          <w:sz w:val="18"/>
        </w:rPr>
        <w:t>表1-</w:t>
      </w:r>
      <w:r>
        <w:rPr>
          <w:rFonts w:asciiTheme="minorEastAsia" w:hAnsiTheme="minorEastAsia" w:eastAsiaTheme="minorEastAsia"/>
          <w:sz w:val="18"/>
        </w:rPr>
        <w:fldChar w:fldCharType="begin"/>
      </w:r>
      <w:r>
        <w:rPr>
          <w:rFonts w:asciiTheme="minorEastAsia" w:hAnsiTheme="minorEastAsia" w:eastAsiaTheme="minorEastAsia"/>
          <w:sz w:val="18"/>
        </w:rPr>
        <w:instrText xml:space="preserve"> </w:instrText>
      </w:r>
      <w:r>
        <w:rPr>
          <w:rFonts w:hint="eastAsia" w:asciiTheme="minorEastAsia" w:hAnsiTheme="minorEastAsia" w:eastAsiaTheme="minorEastAsia"/>
          <w:sz w:val="18"/>
        </w:rPr>
        <w:instrText xml:space="preserve">SEQ 表1- \* ARABIC</w:instrText>
      </w:r>
      <w:r>
        <w:rPr>
          <w:rFonts w:asciiTheme="minorEastAsia" w:hAnsiTheme="minorEastAsia" w:eastAsiaTheme="minorEastAsia"/>
          <w:sz w:val="18"/>
        </w:rPr>
        <w:instrText xml:space="preserve"> </w:instrText>
      </w:r>
      <w:r>
        <w:rPr>
          <w:rFonts w:asciiTheme="minorEastAsia" w:hAnsiTheme="minorEastAsia" w:eastAsiaTheme="minorEastAsia"/>
          <w:sz w:val="18"/>
        </w:rPr>
        <w:fldChar w:fldCharType="separate"/>
      </w:r>
      <w:r>
        <w:rPr>
          <w:rFonts w:asciiTheme="minorEastAsia" w:hAnsiTheme="minorEastAsia" w:eastAsiaTheme="minorEastAsia"/>
          <w:sz w:val="18"/>
        </w:rPr>
        <w:t>3</w:t>
      </w:r>
      <w:r>
        <w:rPr>
          <w:rFonts w:asciiTheme="minorEastAsia" w:hAnsiTheme="minorEastAsia" w:eastAsiaTheme="minorEastAsia"/>
          <w:sz w:val="18"/>
        </w:rPr>
        <w:fldChar w:fldCharType="end"/>
      </w:r>
      <w:r>
        <w:rPr>
          <w:rFonts w:asciiTheme="minorEastAsia" w:hAnsiTheme="minorEastAsia" w:eastAsiaTheme="minorEastAsia"/>
          <w:sz w:val="18"/>
        </w:rPr>
        <w:t xml:space="preserve"> </w:t>
      </w:r>
      <w:r>
        <w:rPr>
          <w:rFonts w:hint="eastAsia" w:asciiTheme="minorEastAsia" w:hAnsiTheme="minorEastAsia" w:eastAsiaTheme="minorEastAsia"/>
          <w:sz w:val="18"/>
        </w:rPr>
        <w:t>2016届</w:t>
      </w:r>
      <w:r>
        <w:rPr>
          <w:rFonts w:asciiTheme="minorEastAsia" w:hAnsiTheme="minorEastAsia" w:eastAsiaTheme="minorEastAsia"/>
          <w:sz w:val="18"/>
        </w:rPr>
        <w:t>毕业生</w:t>
      </w:r>
      <w:r>
        <w:rPr>
          <w:rFonts w:hint="eastAsia" w:asciiTheme="minorEastAsia" w:hAnsiTheme="minorEastAsia" w:eastAsiaTheme="minorEastAsia"/>
          <w:sz w:val="18"/>
        </w:rPr>
        <w:t>不同学历层次</w:t>
      </w:r>
      <w:r>
        <w:rPr>
          <w:rFonts w:asciiTheme="minorEastAsia" w:hAnsiTheme="minorEastAsia" w:eastAsiaTheme="minorEastAsia"/>
          <w:sz w:val="18"/>
        </w:rPr>
        <w:t>困难生</w:t>
      </w:r>
      <w:r>
        <w:rPr>
          <w:rFonts w:hint="eastAsia" w:asciiTheme="minorEastAsia" w:hAnsiTheme="minorEastAsia" w:eastAsiaTheme="minorEastAsia"/>
          <w:sz w:val="18"/>
        </w:rPr>
        <w:t>分布情况</w:t>
      </w:r>
      <w:bookmarkEnd w:id="27"/>
    </w:p>
    <w:tbl>
      <w:tblPr>
        <w:tblStyle w:val="50"/>
        <w:tblW w:w="8296" w:type="dxa"/>
        <w:tblInd w:w="0" w:type="dxa"/>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
      <w:tblGrid>
        <w:gridCol w:w="2059"/>
        <w:gridCol w:w="659"/>
        <w:gridCol w:w="1420"/>
        <w:gridCol w:w="657"/>
        <w:gridCol w:w="1422"/>
        <w:gridCol w:w="659"/>
        <w:gridCol w:w="1420"/>
      </w:tblGrid>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059" w:type="dxa"/>
            <w:vMerge w:val="restart"/>
            <w:tcBorders>
              <w:top w:val="single" w:color="ED7D31" w:themeColor="accent2" w:sz="4" w:space="0"/>
              <w:left w:val="single" w:color="ED7D31" w:themeColor="accent2" w:sz="4" w:space="0"/>
              <w:bottom w:val="single" w:color="FFFFFF" w:themeColor="background1" w:sz="4" w:space="0"/>
              <w:right w:val="nil"/>
              <w:insideV w:val="nil"/>
            </w:tcBorders>
            <w:shd w:val="clear" w:color="auto" w:fill="ED7D31" w:themeFill="accent2"/>
            <w:vAlign w:val="center"/>
          </w:tcPr>
          <w:p>
            <w:pPr>
              <w:jc w:val="center"/>
              <w:rPr>
                <w:rFonts w:asciiTheme="minorEastAsia" w:hAnsiTheme="minorEastAsia"/>
                <w:b/>
                <w:bCs/>
                <w:color w:val="FFFFFF" w:themeColor="background1"/>
                <w:sz w:val="18"/>
                <w:szCs w:val="18"/>
                <w14:textFill>
                  <w14:solidFill>
                    <w14:schemeClr w14:val="bg1"/>
                  </w14:solidFill>
                </w14:textFill>
              </w:rPr>
            </w:pPr>
            <w:r>
              <w:rPr>
                <w:rFonts w:hint="eastAsia" w:asciiTheme="minorEastAsia" w:hAnsiTheme="minorEastAsia"/>
                <w:b/>
                <w:bCs/>
                <w:color w:val="FFFFFF" w:themeColor="background1"/>
                <w:sz w:val="18"/>
                <w:szCs w:val="18"/>
                <w14:textFill>
                  <w14:solidFill>
                    <w14:schemeClr w14:val="bg1"/>
                  </w14:solidFill>
                </w14:textFill>
              </w:rPr>
              <w:t>困难生类别</w:t>
            </w:r>
          </w:p>
        </w:tc>
        <w:tc>
          <w:tcPr>
            <w:tcW w:w="2079" w:type="dxa"/>
            <w:gridSpan w:val="2"/>
            <w:tcBorders>
              <w:top w:val="single" w:color="ED7D31" w:themeColor="accent2" w:sz="4" w:space="0"/>
              <w:left w:val="single" w:color="FFFFFF" w:themeColor="background1" w:sz="4" w:space="0"/>
              <w:bottom w:val="single" w:color="FFFFFF" w:themeColor="background1" w:sz="4" w:space="0"/>
              <w:right w:val="nil"/>
              <w:insideV w:val="nil"/>
            </w:tcBorders>
            <w:shd w:val="clear" w:color="auto" w:fill="ED7D31" w:themeFill="accent2"/>
            <w:vAlign w:val="center"/>
          </w:tcPr>
          <w:p>
            <w:pPr>
              <w:jc w:val="center"/>
              <w:rPr>
                <w:rFonts w:asciiTheme="minorEastAsia" w:hAnsiTheme="minorEastAsia"/>
                <w:b/>
                <w:bCs/>
                <w:color w:val="FFFFFF" w:themeColor="background1"/>
                <w:sz w:val="18"/>
                <w:szCs w:val="18"/>
                <w14:textFill>
                  <w14:solidFill>
                    <w14:schemeClr w14:val="bg1"/>
                  </w14:solidFill>
                </w14:textFill>
              </w:rPr>
            </w:pPr>
            <w:r>
              <w:rPr>
                <w:rFonts w:hint="eastAsia" w:asciiTheme="minorEastAsia" w:hAnsiTheme="minorEastAsia"/>
                <w:b/>
                <w:bCs/>
                <w:color w:val="FFFFFF" w:themeColor="background1"/>
                <w:sz w:val="18"/>
                <w:szCs w:val="18"/>
                <w14:textFill>
                  <w14:solidFill>
                    <w14:schemeClr w14:val="bg1"/>
                  </w14:solidFill>
                </w14:textFill>
              </w:rPr>
              <w:t>本科毕业生</w:t>
            </w:r>
          </w:p>
        </w:tc>
        <w:tc>
          <w:tcPr>
            <w:tcW w:w="2079" w:type="dxa"/>
            <w:gridSpan w:val="2"/>
            <w:tcBorders>
              <w:top w:val="single" w:color="ED7D31" w:themeColor="accent2" w:sz="4" w:space="0"/>
              <w:left w:val="single" w:color="FFFFFF" w:themeColor="background1" w:sz="4" w:space="0"/>
              <w:bottom w:val="single" w:color="FFFFFF" w:themeColor="background1" w:sz="4" w:space="0"/>
              <w:right w:val="nil"/>
              <w:insideV w:val="nil"/>
            </w:tcBorders>
            <w:shd w:val="clear" w:color="auto" w:fill="ED7D31" w:themeFill="accent2"/>
            <w:vAlign w:val="center"/>
          </w:tcPr>
          <w:p>
            <w:pPr>
              <w:jc w:val="center"/>
              <w:rPr>
                <w:rFonts w:asciiTheme="minorEastAsia" w:hAnsiTheme="minorEastAsia"/>
                <w:b/>
                <w:bCs/>
                <w:color w:val="FFFFFF" w:themeColor="background1"/>
                <w:sz w:val="18"/>
                <w:szCs w:val="18"/>
                <w14:textFill>
                  <w14:solidFill>
                    <w14:schemeClr w14:val="bg1"/>
                  </w14:solidFill>
                </w14:textFill>
              </w:rPr>
            </w:pPr>
            <w:r>
              <w:rPr>
                <w:rFonts w:hint="eastAsia" w:asciiTheme="minorEastAsia" w:hAnsiTheme="minorEastAsia"/>
                <w:b/>
                <w:bCs/>
                <w:color w:val="FFFFFF" w:themeColor="background1"/>
                <w:sz w:val="18"/>
                <w:szCs w:val="18"/>
                <w14:textFill>
                  <w14:solidFill>
                    <w14:schemeClr w14:val="bg1"/>
                  </w14:solidFill>
                </w14:textFill>
              </w:rPr>
              <w:t>专科毕业生</w:t>
            </w:r>
          </w:p>
        </w:tc>
        <w:tc>
          <w:tcPr>
            <w:tcW w:w="2079" w:type="dxa"/>
            <w:gridSpan w:val="2"/>
            <w:tcBorders>
              <w:top w:val="single" w:color="ED7D31" w:themeColor="accent2" w:sz="4" w:space="0"/>
              <w:left w:val="single" w:color="FFFFFF" w:themeColor="background1" w:sz="4" w:space="0"/>
              <w:bottom w:val="single" w:color="FFFFFF" w:themeColor="background1" w:sz="4" w:space="0"/>
              <w:right w:val="single" w:color="ED7D31" w:themeColor="accent2" w:sz="4" w:space="0"/>
              <w:insideV w:val="nil"/>
            </w:tcBorders>
            <w:shd w:val="clear" w:color="auto" w:fill="ED7D31" w:themeFill="accent2"/>
            <w:vAlign w:val="center"/>
          </w:tcPr>
          <w:p>
            <w:pPr>
              <w:jc w:val="center"/>
              <w:rPr>
                <w:rFonts w:asciiTheme="minorEastAsia" w:hAnsiTheme="minorEastAsia"/>
                <w:b/>
                <w:bCs/>
                <w:color w:val="FFFFFF" w:themeColor="background1"/>
                <w:sz w:val="18"/>
                <w:szCs w:val="18"/>
                <w14:textFill>
                  <w14:solidFill>
                    <w14:schemeClr w14:val="bg1"/>
                  </w14:solidFill>
                </w14:textFill>
              </w:rPr>
            </w:pPr>
            <w:r>
              <w:rPr>
                <w:rFonts w:hint="eastAsia" w:asciiTheme="minorEastAsia" w:hAnsiTheme="minorEastAsia"/>
                <w:b/>
                <w:bCs/>
                <w:color w:val="FFFFFF" w:themeColor="background1"/>
                <w:sz w:val="18"/>
                <w:szCs w:val="18"/>
                <w14:textFill>
                  <w14:solidFill>
                    <w14:schemeClr w14:val="bg1"/>
                  </w14:solidFill>
                </w14:textFill>
              </w:rPr>
              <w:t>总计</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059" w:type="dxa"/>
            <w:vMerge w:val="continue"/>
            <w:tcBorders>
              <w:top w:val="single" w:color="FFFFFF" w:themeColor="background1" w:sz="4" w:space="0"/>
              <w:right w:val="single" w:color="FFFFFF" w:themeColor="background1" w:sz="4" w:space="0"/>
            </w:tcBorders>
            <w:shd w:val="clear" w:color="auto" w:fill="ED7D31" w:themeFill="accent2"/>
            <w:vAlign w:val="center"/>
          </w:tcPr>
          <w:p>
            <w:pPr>
              <w:jc w:val="center"/>
              <w:rPr>
                <w:rFonts w:asciiTheme="minorEastAsia" w:hAnsiTheme="minorEastAsia"/>
                <w:b/>
                <w:bCs/>
                <w:color w:val="FFFFFF" w:themeColor="background1"/>
                <w:sz w:val="18"/>
                <w:szCs w:val="18"/>
                <w14:textFill>
                  <w14:solidFill>
                    <w14:schemeClr w14:val="bg1"/>
                  </w14:solidFill>
                </w14:textFill>
              </w:rPr>
            </w:pPr>
          </w:p>
        </w:tc>
        <w:tc>
          <w:tcPr>
            <w:tcW w:w="659" w:type="dxa"/>
            <w:tcBorders>
              <w:top w:val="single" w:color="FFFFFF" w:themeColor="background1" w:sz="4" w:space="0"/>
              <w:left w:val="single" w:color="FFFFFF" w:themeColor="background1" w:sz="4" w:space="0"/>
              <w:right w:val="single" w:color="FFFFFF" w:themeColor="background1" w:sz="4" w:space="0"/>
            </w:tcBorders>
            <w:shd w:val="clear" w:color="auto" w:fill="ED7D31" w:themeFill="accent2"/>
            <w:vAlign w:val="center"/>
          </w:tcPr>
          <w:p>
            <w:pPr>
              <w:jc w:val="center"/>
              <w:rPr>
                <w:rFonts w:asciiTheme="minorEastAsia" w:hAnsiTheme="minorEastAsia"/>
                <w:b/>
                <w:color w:val="FFFFFF" w:themeColor="background1"/>
                <w:sz w:val="18"/>
                <w:szCs w:val="18"/>
                <w14:textFill>
                  <w14:solidFill>
                    <w14:schemeClr w14:val="bg1"/>
                  </w14:solidFill>
                </w14:textFill>
              </w:rPr>
            </w:pPr>
            <w:r>
              <w:rPr>
                <w:rFonts w:hint="eastAsia" w:asciiTheme="minorEastAsia" w:hAnsiTheme="minorEastAsia"/>
                <w:b/>
                <w:color w:val="FFFFFF" w:themeColor="background1"/>
                <w:sz w:val="18"/>
                <w:szCs w:val="18"/>
                <w14:textFill>
                  <w14:solidFill>
                    <w14:schemeClr w14:val="bg1"/>
                  </w14:solidFill>
                </w14:textFill>
              </w:rPr>
              <w:t>人数</w:t>
            </w:r>
          </w:p>
        </w:tc>
        <w:tc>
          <w:tcPr>
            <w:tcW w:w="1420" w:type="dxa"/>
            <w:tcBorders>
              <w:top w:val="single" w:color="FFFFFF" w:themeColor="background1" w:sz="4" w:space="0"/>
              <w:left w:val="single" w:color="FFFFFF" w:themeColor="background1" w:sz="4" w:space="0"/>
              <w:right w:val="single" w:color="FFFFFF" w:themeColor="background1" w:sz="4" w:space="0"/>
            </w:tcBorders>
            <w:shd w:val="clear" w:color="auto" w:fill="ED7D31" w:themeFill="accent2"/>
            <w:vAlign w:val="center"/>
          </w:tcPr>
          <w:p>
            <w:pPr>
              <w:jc w:val="center"/>
              <w:rPr>
                <w:rFonts w:asciiTheme="minorEastAsia" w:hAnsiTheme="minorEastAsia"/>
                <w:b/>
                <w:color w:val="FFFFFF" w:themeColor="background1"/>
                <w:sz w:val="18"/>
                <w:szCs w:val="18"/>
                <w14:textFill>
                  <w14:solidFill>
                    <w14:schemeClr w14:val="bg1"/>
                  </w14:solidFill>
                </w14:textFill>
              </w:rPr>
            </w:pPr>
            <w:r>
              <w:rPr>
                <w:rFonts w:hint="eastAsia" w:asciiTheme="minorEastAsia" w:hAnsiTheme="minorEastAsia"/>
                <w:b/>
                <w:color w:val="FFFFFF" w:themeColor="background1"/>
                <w:sz w:val="18"/>
                <w:szCs w:val="18"/>
                <w14:textFill>
                  <w14:solidFill>
                    <w14:schemeClr w14:val="bg1"/>
                  </w14:solidFill>
                </w14:textFill>
              </w:rPr>
              <w:t>比例（%）</w:t>
            </w:r>
          </w:p>
        </w:tc>
        <w:tc>
          <w:tcPr>
            <w:tcW w:w="657" w:type="dxa"/>
            <w:tcBorders>
              <w:top w:val="single" w:color="FFFFFF" w:themeColor="background1" w:sz="4" w:space="0"/>
              <w:left w:val="single" w:color="FFFFFF" w:themeColor="background1" w:sz="4" w:space="0"/>
              <w:right w:val="single" w:color="FFFFFF" w:themeColor="background1" w:sz="4" w:space="0"/>
            </w:tcBorders>
            <w:shd w:val="clear" w:color="auto" w:fill="ED7D31" w:themeFill="accent2"/>
            <w:vAlign w:val="center"/>
          </w:tcPr>
          <w:p>
            <w:pPr>
              <w:jc w:val="center"/>
              <w:rPr>
                <w:rFonts w:asciiTheme="minorEastAsia" w:hAnsiTheme="minorEastAsia"/>
                <w:b/>
                <w:color w:val="FFFFFF" w:themeColor="background1"/>
                <w:sz w:val="18"/>
                <w:szCs w:val="18"/>
                <w14:textFill>
                  <w14:solidFill>
                    <w14:schemeClr w14:val="bg1"/>
                  </w14:solidFill>
                </w14:textFill>
              </w:rPr>
            </w:pPr>
            <w:r>
              <w:rPr>
                <w:rFonts w:hint="eastAsia" w:asciiTheme="minorEastAsia" w:hAnsiTheme="minorEastAsia"/>
                <w:b/>
                <w:color w:val="FFFFFF" w:themeColor="background1"/>
                <w:sz w:val="18"/>
                <w:szCs w:val="18"/>
                <w14:textFill>
                  <w14:solidFill>
                    <w14:schemeClr w14:val="bg1"/>
                  </w14:solidFill>
                </w14:textFill>
              </w:rPr>
              <w:t>人数</w:t>
            </w:r>
          </w:p>
        </w:tc>
        <w:tc>
          <w:tcPr>
            <w:tcW w:w="1422" w:type="dxa"/>
            <w:tcBorders>
              <w:top w:val="single" w:color="FFFFFF" w:themeColor="background1" w:sz="4" w:space="0"/>
              <w:left w:val="single" w:color="FFFFFF" w:themeColor="background1" w:sz="4" w:space="0"/>
              <w:right w:val="single" w:color="FFFFFF" w:themeColor="background1" w:sz="4" w:space="0"/>
            </w:tcBorders>
            <w:shd w:val="clear" w:color="auto" w:fill="ED7D31" w:themeFill="accent2"/>
            <w:vAlign w:val="center"/>
          </w:tcPr>
          <w:p>
            <w:pPr>
              <w:jc w:val="center"/>
              <w:rPr>
                <w:rFonts w:asciiTheme="minorEastAsia" w:hAnsiTheme="minorEastAsia"/>
                <w:b/>
                <w:color w:val="FFFFFF" w:themeColor="background1"/>
                <w:sz w:val="18"/>
                <w:szCs w:val="18"/>
                <w14:textFill>
                  <w14:solidFill>
                    <w14:schemeClr w14:val="bg1"/>
                  </w14:solidFill>
                </w14:textFill>
              </w:rPr>
            </w:pPr>
            <w:r>
              <w:rPr>
                <w:rFonts w:hint="eastAsia" w:asciiTheme="minorEastAsia" w:hAnsiTheme="minorEastAsia"/>
                <w:b/>
                <w:color w:val="FFFFFF" w:themeColor="background1"/>
                <w:sz w:val="18"/>
                <w:szCs w:val="18"/>
                <w14:textFill>
                  <w14:solidFill>
                    <w14:schemeClr w14:val="bg1"/>
                  </w14:solidFill>
                </w14:textFill>
              </w:rPr>
              <w:t>比例（%）</w:t>
            </w:r>
          </w:p>
        </w:tc>
        <w:tc>
          <w:tcPr>
            <w:tcW w:w="659" w:type="dxa"/>
            <w:tcBorders>
              <w:top w:val="single" w:color="FFFFFF" w:themeColor="background1" w:sz="4" w:space="0"/>
              <w:left w:val="single" w:color="FFFFFF" w:themeColor="background1" w:sz="4" w:space="0"/>
              <w:right w:val="single" w:color="FFFFFF" w:themeColor="background1" w:sz="4" w:space="0"/>
            </w:tcBorders>
            <w:shd w:val="clear" w:color="auto" w:fill="ED7D31" w:themeFill="accent2"/>
            <w:vAlign w:val="center"/>
          </w:tcPr>
          <w:p>
            <w:pPr>
              <w:jc w:val="center"/>
              <w:rPr>
                <w:rFonts w:asciiTheme="minorEastAsia" w:hAnsiTheme="minorEastAsia"/>
                <w:b/>
                <w:color w:val="FFFFFF" w:themeColor="background1"/>
                <w:sz w:val="18"/>
                <w:szCs w:val="18"/>
                <w14:textFill>
                  <w14:solidFill>
                    <w14:schemeClr w14:val="bg1"/>
                  </w14:solidFill>
                </w14:textFill>
              </w:rPr>
            </w:pPr>
            <w:r>
              <w:rPr>
                <w:rFonts w:hint="eastAsia" w:asciiTheme="minorEastAsia" w:hAnsiTheme="minorEastAsia"/>
                <w:b/>
                <w:color w:val="FFFFFF" w:themeColor="background1"/>
                <w:sz w:val="18"/>
                <w:szCs w:val="18"/>
                <w14:textFill>
                  <w14:solidFill>
                    <w14:schemeClr w14:val="bg1"/>
                  </w14:solidFill>
                </w14:textFill>
              </w:rPr>
              <w:t>人数</w:t>
            </w:r>
          </w:p>
        </w:tc>
        <w:tc>
          <w:tcPr>
            <w:tcW w:w="1420" w:type="dxa"/>
            <w:tcBorders>
              <w:top w:val="single" w:color="FFFFFF" w:themeColor="background1" w:sz="4" w:space="0"/>
              <w:left w:val="single" w:color="FFFFFF" w:themeColor="background1" w:sz="4" w:space="0"/>
            </w:tcBorders>
            <w:shd w:val="clear" w:color="auto" w:fill="ED7D31" w:themeFill="accent2"/>
            <w:vAlign w:val="center"/>
          </w:tcPr>
          <w:p>
            <w:pPr>
              <w:jc w:val="center"/>
              <w:rPr>
                <w:rFonts w:asciiTheme="minorEastAsia" w:hAnsiTheme="minorEastAsia"/>
                <w:b/>
                <w:color w:val="FFFFFF" w:themeColor="background1"/>
                <w:sz w:val="18"/>
                <w:szCs w:val="18"/>
                <w14:textFill>
                  <w14:solidFill>
                    <w14:schemeClr w14:val="bg1"/>
                  </w14:solidFill>
                </w14:textFill>
              </w:rPr>
            </w:pPr>
            <w:r>
              <w:rPr>
                <w:rFonts w:hint="eastAsia" w:asciiTheme="minorEastAsia" w:hAnsiTheme="minorEastAsia"/>
                <w:b/>
                <w:color w:val="FFFFFF" w:themeColor="background1"/>
                <w:sz w:val="18"/>
                <w:szCs w:val="18"/>
                <w14:textFill>
                  <w14:solidFill>
                    <w14:schemeClr w14:val="bg1"/>
                  </w14:solidFill>
                </w14:textFill>
              </w:rPr>
              <w:t>比例（%）</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059" w:type="dxa"/>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非困难生</w:t>
            </w:r>
          </w:p>
        </w:tc>
        <w:tc>
          <w:tcPr>
            <w:tcW w:w="659" w:type="dxa"/>
            <w:vAlign w:val="center"/>
          </w:tcPr>
          <w:p>
            <w:pPr>
              <w:jc w:val="center"/>
              <w:rPr>
                <w:rFonts w:asciiTheme="minorEastAsia" w:hAnsiTheme="minorEastAsia"/>
                <w:sz w:val="18"/>
                <w:szCs w:val="18"/>
              </w:rPr>
            </w:pPr>
            <w:r>
              <w:rPr>
                <w:rFonts w:hint="eastAsia" w:asciiTheme="minorEastAsia" w:hAnsiTheme="minorEastAsia"/>
                <w:sz w:val="18"/>
                <w:szCs w:val="18"/>
              </w:rPr>
              <w:t>2867</w:t>
            </w:r>
          </w:p>
        </w:tc>
        <w:tc>
          <w:tcPr>
            <w:tcW w:w="1420" w:type="dxa"/>
            <w:vAlign w:val="center"/>
          </w:tcPr>
          <w:p>
            <w:pPr>
              <w:jc w:val="center"/>
              <w:rPr>
                <w:rFonts w:asciiTheme="minorEastAsia" w:hAnsiTheme="minorEastAsia"/>
                <w:sz w:val="18"/>
                <w:szCs w:val="18"/>
              </w:rPr>
            </w:pPr>
            <w:r>
              <w:rPr>
                <w:rFonts w:hint="eastAsia" w:asciiTheme="minorEastAsia" w:hAnsiTheme="minorEastAsia"/>
                <w:sz w:val="18"/>
                <w:szCs w:val="18"/>
              </w:rPr>
              <w:t>87.78</w:t>
            </w:r>
          </w:p>
        </w:tc>
        <w:tc>
          <w:tcPr>
            <w:tcW w:w="657" w:type="dxa"/>
            <w:vAlign w:val="center"/>
          </w:tcPr>
          <w:p>
            <w:pPr>
              <w:jc w:val="center"/>
              <w:rPr>
                <w:rFonts w:asciiTheme="minorEastAsia" w:hAnsiTheme="minorEastAsia"/>
                <w:sz w:val="18"/>
                <w:szCs w:val="18"/>
              </w:rPr>
            </w:pPr>
            <w:r>
              <w:rPr>
                <w:rFonts w:hint="eastAsia" w:asciiTheme="minorEastAsia" w:hAnsiTheme="minorEastAsia"/>
                <w:sz w:val="18"/>
                <w:szCs w:val="18"/>
              </w:rPr>
              <w:t>177</w:t>
            </w:r>
          </w:p>
        </w:tc>
        <w:tc>
          <w:tcPr>
            <w:tcW w:w="1422" w:type="dxa"/>
            <w:vAlign w:val="center"/>
          </w:tcPr>
          <w:p>
            <w:pPr>
              <w:jc w:val="center"/>
              <w:rPr>
                <w:rFonts w:asciiTheme="minorEastAsia" w:hAnsiTheme="minorEastAsia"/>
                <w:sz w:val="18"/>
                <w:szCs w:val="18"/>
              </w:rPr>
            </w:pPr>
            <w:r>
              <w:rPr>
                <w:rFonts w:hint="eastAsia" w:asciiTheme="minorEastAsia" w:hAnsiTheme="minorEastAsia"/>
                <w:sz w:val="18"/>
                <w:szCs w:val="18"/>
              </w:rPr>
              <w:t>91.24</w:t>
            </w:r>
          </w:p>
        </w:tc>
        <w:tc>
          <w:tcPr>
            <w:tcW w:w="659" w:type="dxa"/>
            <w:vAlign w:val="center"/>
          </w:tcPr>
          <w:p>
            <w:pPr>
              <w:jc w:val="center"/>
              <w:rPr>
                <w:rFonts w:asciiTheme="minorEastAsia" w:hAnsiTheme="minorEastAsia"/>
                <w:sz w:val="18"/>
                <w:szCs w:val="18"/>
              </w:rPr>
            </w:pPr>
            <w:r>
              <w:rPr>
                <w:rFonts w:hint="eastAsia" w:asciiTheme="minorEastAsia" w:hAnsiTheme="minorEastAsia"/>
                <w:sz w:val="18"/>
                <w:szCs w:val="18"/>
              </w:rPr>
              <w:t>3044</w:t>
            </w:r>
          </w:p>
        </w:tc>
        <w:tc>
          <w:tcPr>
            <w:tcW w:w="1420" w:type="dxa"/>
            <w:vAlign w:val="center"/>
          </w:tcPr>
          <w:p>
            <w:pPr>
              <w:jc w:val="center"/>
              <w:rPr>
                <w:rFonts w:asciiTheme="minorEastAsia" w:hAnsiTheme="minorEastAsia"/>
                <w:sz w:val="18"/>
                <w:szCs w:val="18"/>
              </w:rPr>
            </w:pPr>
            <w:r>
              <w:rPr>
                <w:rFonts w:hint="eastAsia" w:asciiTheme="minorEastAsia" w:hAnsiTheme="minorEastAsia"/>
                <w:sz w:val="18"/>
                <w:szCs w:val="18"/>
              </w:rPr>
              <w:t>87.98</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059" w:type="dxa"/>
            <w:shd w:val="clear" w:color="auto" w:fill="FBE4D5" w:themeFill="accent2" w:themeFillTint="33"/>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家庭经济困难</w:t>
            </w:r>
          </w:p>
        </w:tc>
        <w:tc>
          <w:tcPr>
            <w:tcW w:w="659"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233</w:t>
            </w:r>
          </w:p>
        </w:tc>
        <w:tc>
          <w:tcPr>
            <w:tcW w:w="1420"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7.13</w:t>
            </w:r>
          </w:p>
        </w:tc>
        <w:tc>
          <w:tcPr>
            <w:tcW w:w="657"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5</w:t>
            </w:r>
          </w:p>
        </w:tc>
        <w:tc>
          <w:tcPr>
            <w:tcW w:w="1422"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2.58</w:t>
            </w:r>
          </w:p>
        </w:tc>
        <w:tc>
          <w:tcPr>
            <w:tcW w:w="659"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238</w:t>
            </w:r>
          </w:p>
        </w:tc>
        <w:tc>
          <w:tcPr>
            <w:tcW w:w="1420"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6.88</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059" w:type="dxa"/>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家庭困难和残疾</w:t>
            </w:r>
          </w:p>
        </w:tc>
        <w:tc>
          <w:tcPr>
            <w:tcW w:w="659" w:type="dxa"/>
            <w:vAlign w:val="center"/>
          </w:tcPr>
          <w:p>
            <w:pPr>
              <w:jc w:val="center"/>
              <w:rPr>
                <w:rFonts w:asciiTheme="minorEastAsia" w:hAnsiTheme="minorEastAsia"/>
                <w:sz w:val="18"/>
                <w:szCs w:val="18"/>
              </w:rPr>
            </w:pPr>
            <w:r>
              <w:rPr>
                <w:rFonts w:hint="eastAsia" w:asciiTheme="minorEastAsia" w:hAnsiTheme="minorEastAsia"/>
                <w:sz w:val="18"/>
                <w:szCs w:val="18"/>
              </w:rPr>
              <w:t>1</w:t>
            </w:r>
          </w:p>
        </w:tc>
        <w:tc>
          <w:tcPr>
            <w:tcW w:w="1420" w:type="dxa"/>
            <w:vAlign w:val="center"/>
          </w:tcPr>
          <w:p>
            <w:pPr>
              <w:jc w:val="center"/>
              <w:rPr>
                <w:rFonts w:asciiTheme="minorEastAsia" w:hAnsiTheme="minorEastAsia"/>
                <w:sz w:val="18"/>
                <w:szCs w:val="18"/>
              </w:rPr>
            </w:pPr>
            <w:r>
              <w:rPr>
                <w:rFonts w:hint="eastAsia" w:asciiTheme="minorEastAsia" w:hAnsiTheme="minorEastAsia"/>
                <w:sz w:val="18"/>
                <w:szCs w:val="18"/>
              </w:rPr>
              <w:t>0.03</w:t>
            </w:r>
          </w:p>
        </w:tc>
        <w:tc>
          <w:tcPr>
            <w:tcW w:w="657" w:type="dxa"/>
            <w:vAlign w:val="center"/>
          </w:tcPr>
          <w:p>
            <w:pPr>
              <w:jc w:val="center"/>
              <w:rPr>
                <w:rFonts w:asciiTheme="minorEastAsia" w:hAnsiTheme="minorEastAsia"/>
                <w:sz w:val="18"/>
                <w:szCs w:val="18"/>
              </w:rPr>
            </w:pPr>
            <w:r>
              <w:rPr>
                <w:rFonts w:hint="eastAsia" w:asciiTheme="minorEastAsia" w:hAnsiTheme="minorEastAsia"/>
                <w:sz w:val="18"/>
                <w:szCs w:val="18"/>
              </w:rPr>
              <w:t>-</w:t>
            </w:r>
          </w:p>
        </w:tc>
        <w:tc>
          <w:tcPr>
            <w:tcW w:w="1422" w:type="dxa"/>
            <w:vAlign w:val="center"/>
          </w:tcPr>
          <w:p>
            <w:pPr>
              <w:jc w:val="center"/>
              <w:rPr>
                <w:rFonts w:asciiTheme="minorEastAsia" w:hAnsiTheme="minorEastAsia"/>
                <w:sz w:val="18"/>
                <w:szCs w:val="18"/>
              </w:rPr>
            </w:pPr>
            <w:r>
              <w:rPr>
                <w:rFonts w:hint="eastAsia" w:asciiTheme="minorEastAsia" w:hAnsiTheme="minorEastAsia"/>
                <w:sz w:val="18"/>
                <w:szCs w:val="18"/>
              </w:rPr>
              <w:t>0.00</w:t>
            </w:r>
          </w:p>
        </w:tc>
        <w:tc>
          <w:tcPr>
            <w:tcW w:w="659" w:type="dxa"/>
            <w:vAlign w:val="center"/>
          </w:tcPr>
          <w:p>
            <w:pPr>
              <w:jc w:val="center"/>
              <w:rPr>
                <w:rFonts w:asciiTheme="minorEastAsia" w:hAnsiTheme="minorEastAsia"/>
                <w:sz w:val="18"/>
                <w:szCs w:val="18"/>
              </w:rPr>
            </w:pPr>
            <w:r>
              <w:rPr>
                <w:rFonts w:hint="eastAsia" w:asciiTheme="minorEastAsia" w:hAnsiTheme="minorEastAsia"/>
                <w:sz w:val="18"/>
                <w:szCs w:val="18"/>
              </w:rPr>
              <w:t>1</w:t>
            </w:r>
          </w:p>
        </w:tc>
        <w:tc>
          <w:tcPr>
            <w:tcW w:w="1420" w:type="dxa"/>
            <w:vAlign w:val="center"/>
          </w:tcPr>
          <w:p>
            <w:pPr>
              <w:jc w:val="center"/>
              <w:rPr>
                <w:rFonts w:asciiTheme="minorEastAsia" w:hAnsiTheme="minorEastAsia"/>
                <w:sz w:val="18"/>
                <w:szCs w:val="18"/>
              </w:rPr>
            </w:pPr>
            <w:r>
              <w:rPr>
                <w:rFonts w:hint="eastAsia" w:asciiTheme="minorEastAsia" w:hAnsiTheme="minorEastAsia"/>
                <w:sz w:val="18"/>
                <w:szCs w:val="18"/>
              </w:rPr>
              <w:t>0.03</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059" w:type="dxa"/>
            <w:shd w:val="clear" w:color="auto" w:fill="FBE4D5" w:themeFill="accent2" w:themeFillTint="33"/>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纯农户家庭</w:t>
            </w:r>
          </w:p>
        </w:tc>
        <w:tc>
          <w:tcPr>
            <w:tcW w:w="659"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42</w:t>
            </w:r>
          </w:p>
        </w:tc>
        <w:tc>
          <w:tcPr>
            <w:tcW w:w="1420"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1.29</w:t>
            </w:r>
          </w:p>
        </w:tc>
        <w:tc>
          <w:tcPr>
            <w:tcW w:w="657"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w:t>
            </w:r>
          </w:p>
        </w:tc>
        <w:tc>
          <w:tcPr>
            <w:tcW w:w="1422"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0.00</w:t>
            </w:r>
          </w:p>
        </w:tc>
        <w:tc>
          <w:tcPr>
            <w:tcW w:w="659"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42</w:t>
            </w:r>
          </w:p>
        </w:tc>
        <w:tc>
          <w:tcPr>
            <w:tcW w:w="1420"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1.21</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059" w:type="dxa"/>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就业困难和家庭困难</w:t>
            </w:r>
          </w:p>
        </w:tc>
        <w:tc>
          <w:tcPr>
            <w:tcW w:w="659" w:type="dxa"/>
            <w:vAlign w:val="center"/>
          </w:tcPr>
          <w:p>
            <w:pPr>
              <w:jc w:val="center"/>
              <w:rPr>
                <w:rFonts w:asciiTheme="minorEastAsia" w:hAnsiTheme="minorEastAsia"/>
                <w:sz w:val="18"/>
                <w:szCs w:val="18"/>
              </w:rPr>
            </w:pPr>
            <w:r>
              <w:rPr>
                <w:rFonts w:hint="eastAsia" w:asciiTheme="minorEastAsia" w:hAnsiTheme="minorEastAsia"/>
                <w:sz w:val="18"/>
                <w:szCs w:val="18"/>
              </w:rPr>
              <w:t>33</w:t>
            </w:r>
          </w:p>
        </w:tc>
        <w:tc>
          <w:tcPr>
            <w:tcW w:w="1420" w:type="dxa"/>
            <w:vAlign w:val="center"/>
          </w:tcPr>
          <w:p>
            <w:pPr>
              <w:jc w:val="center"/>
              <w:rPr>
                <w:rFonts w:asciiTheme="minorEastAsia" w:hAnsiTheme="minorEastAsia"/>
                <w:sz w:val="18"/>
                <w:szCs w:val="18"/>
              </w:rPr>
            </w:pPr>
            <w:r>
              <w:rPr>
                <w:rFonts w:hint="eastAsia" w:asciiTheme="minorEastAsia" w:hAnsiTheme="minorEastAsia"/>
                <w:sz w:val="18"/>
                <w:szCs w:val="18"/>
              </w:rPr>
              <w:t>1.01</w:t>
            </w:r>
          </w:p>
        </w:tc>
        <w:tc>
          <w:tcPr>
            <w:tcW w:w="657" w:type="dxa"/>
            <w:vAlign w:val="center"/>
          </w:tcPr>
          <w:p>
            <w:pPr>
              <w:jc w:val="center"/>
              <w:rPr>
                <w:rFonts w:asciiTheme="minorEastAsia" w:hAnsiTheme="minorEastAsia"/>
                <w:sz w:val="18"/>
                <w:szCs w:val="18"/>
              </w:rPr>
            </w:pPr>
            <w:r>
              <w:rPr>
                <w:rFonts w:hint="eastAsia" w:asciiTheme="minorEastAsia" w:hAnsiTheme="minorEastAsia"/>
                <w:sz w:val="18"/>
                <w:szCs w:val="18"/>
              </w:rPr>
              <w:t>1</w:t>
            </w:r>
          </w:p>
        </w:tc>
        <w:tc>
          <w:tcPr>
            <w:tcW w:w="1422" w:type="dxa"/>
            <w:vAlign w:val="center"/>
          </w:tcPr>
          <w:p>
            <w:pPr>
              <w:jc w:val="center"/>
              <w:rPr>
                <w:rFonts w:asciiTheme="minorEastAsia" w:hAnsiTheme="minorEastAsia"/>
                <w:sz w:val="18"/>
                <w:szCs w:val="18"/>
              </w:rPr>
            </w:pPr>
            <w:r>
              <w:rPr>
                <w:rFonts w:hint="eastAsia" w:asciiTheme="minorEastAsia" w:hAnsiTheme="minorEastAsia"/>
                <w:sz w:val="18"/>
                <w:szCs w:val="18"/>
              </w:rPr>
              <w:t>0.52</w:t>
            </w:r>
          </w:p>
        </w:tc>
        <w:tc>
          <w:tcPr>
            <w:tcW w:w="659" w:type="dxa"/>
            <w:vAlign w:val="center"/>
          </w:tcPr>
          <w:p>
            <w:pPr>
              <w:jc w:val="center"/>
              <w:rPr>
                <w:rFonts w:asciiTheme="minorEastAsia" w:hAnsiTheme="minorEastAsia"/>
                <w:sz w:val="18"/>
                <w:szCs w:val="18"/>
              </w:rPr>
            </w:pPr>
            <w:r>
              <w:rPr>
                <w:rFonts w:hint="eastAsia" w:asciiTheme="minorEastAsia" w:hAnsiTheme="minorEastAsia"/>
                <w:sz w:val="18"/>
                <w:szCs w:val="18"/>
              </w:rPr>
              <w:t>34</w:t>
            </w:r>
          </w:p>
        </w:tc>
        <w:tc>
          <w:tcPr>
            <w:tcW w:w="1420" w:type="dxa"/>
            <w:vAlign w:val="center"/>
          </w:tcPr>
          <w:p>
            <w:pPr>
              <w:jc w:val="center"/>
              <w:rPr>
                <w:rFonts w:asciiTheme="minorEastAsia" w:hAnsiTheme="minorEastAsia"/>
                <w:sz w:val="18"/>
                <w:szCs w:val="18"/>
              </w:rPr>
            </w:pPr>
            <w:r>
              <w:rPr>
                <w:rFonts w:hint="eastAsia" w:asciiTheme="minorEastAsia" w:hAnsiTheme="minorEastAsia"/>
                <w:sz w:val="18"/>
                <w:szCs w:val="18"/>
              </w:rPr>
              <w:t>0.98</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059" w:type="dxa"/>
            <w:shd w:val="clear" w:color="auto" w:fill="FBE4D5" w:themeFill="accent2" w:themeFillTint="33"/>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就业期望过高</w:t>
            </w:r>
          </w:p>
        </w:tc>
        <w:tc>
          <w:tcPr>
            <w:tcW w:w="659"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88</w:t>
            </w:r>
          </w:p>
        </w:tc>
        <w:tc>
          <w:tcPr>
            <w:tcW w:w="1420"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2.69</w:t>
            </w:r>
          </w:p>
        </w:tc>
        <w:tc>
          <w:tcPr>
            <w:tcW w:w="657"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11</w:t>
            </w:r>
          </w:p>
        </w:tc>
        <w:tc>
          <w:tcPr>
            <w:tcW w:w="1422"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5.67</w:t>
            </w:r>
          </w:p>
        </w:tc>
        <w:tc>
          <w:tcPr>
            <w:tcW w:w="659"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99</w:t>
            </w:r>
          </w:p>
        </w:tc>
        <w:tc>
          <w:tcPr>
            <w:tcW w:w="1420"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2.86</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059" w:type="dxa"/>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身体残疾</w:t>
            </w:r>
          </w:p>
        </w:tc>
        <w:tc>
          <w:tcPr>
            <w:tcW w:w="659" w:type="dxa"/>
            <w:vAlign w:val="center"/>
          </w:tcPr>
          <w:p>
            <w:pPr>
              <w:jc w:val="center"/>
              <w:rPr>
                <w:rFonts w:asciiTheme="minorEastAsia" w:hAnsiTheme="minorEastAsia"/>
                <w:sz w:val="18"/>
                <w:szCs w:val="18"/>
              </w:rPr>
            </w:pPr>
            <w:r>
              <w:rPr>
                <w:rFonts w:hint="eastAsia" w:asciiTheme="minorEastAsia" w:hAnsiTheme="minorEastAsia"/>
                <w:sz w:val="18"/>
                <w:szCs w:val="18"/>
              </w:rPr>
              <w:t>1</w:t>
            </w:r>
          </w:p>
        </w:tc>
        <w:tc>
          <w:tcPr>
            <w:tcW w:w="1420" w:type="dxa"/>
            <w:vAlign w:val="center"/>
          </w:tcPr>
          <w:p>
            <w:pPr>
              <w:jc w:val="center"/>
              <w:rPr>
                <w:rFonts w:asciiTheme="minorEastAsia" w:hAnsiTheme="minorEastAsia"/>
                <w:sz w:val="18"/>
                <w:szCs w:val="18"/>
              </w:rPr>
            </w:pPr>
            <w:r>
              <w:rPr>
                <w:rFonts w:hint="eastAsia" w:asciiTheme="minorEastAsia" w:hAnsiTheme="minorEastAsia"/>
                <w:sz w:val="18"/>
                <w:szCs w:val="18"/>
              </w:rPr>
              <w:t>0.03</w:t>
            </w:r>
          </w:p>
        </w:tc>
        <w:tc>
          <w:tcPr>
            <w:tcW w:w="657" w:type="dxa"/>
            <w:vAlign w:val="center"/>
          </w:tcPr>
          <w:p>
            <w:pPr>
              <w:jc w:val="center"/>
              <w:rPr>
                <w:rFonts w:asciiTheme="minorEastAsia" w:hAnsiTheme="minorEastAsia"/>
                <w:sz w:val="18"/>
                <w:szCs w:val="18"/>
              </w:rPr>
            </w:pPr>
            <w:r>
              <w:rPr>
                <w:rFonts w:hint="eastAsia" w:asciiTheme="minorEastAsia" w:hAnsiTheme="minorEastAsia"/>
                <w:sz w:val="18"/>
                <w:szCs w:val="18"/>
              </w:rPr>
              <w:t>-</w:t>
            </w:r>
          </w:p>
        </w:tc>
        <w:tc>
          <w:tcPr>
            <w:tcW w:w="1422" w:type="dxa"/>
            <w:vAlign w:val="center"/>
          </w:tcPr>
          <w:p>
            <w:pPr>
              <w:jc w:val="center"/>
              <w:rPr>
                <w:rFonts w:asciiTheme="minorEastAsia" w:hAnsiTheme="minorEastAsia"/>
                <w:sz w:val="18"/>
                <w:szCs w:val="18"/>
              </w:rPr>
            </w:pPr>
            <w:r>
              <w:rPr>
                <w:rFonts w:hint="eastAsia" w:asciiTheme="minorEastAsia" w:hAnsiTheme="minorEastAsia"/>
                <w:sz w:val="18"/>
                <w:szCs w:val="18"/>
              </w:rPr>
              <w:t>0.00</w:t>
            </w:r>
          </w:p>
        </w:tc>
        <w:tc>
          <w:tcPr>
            <w:tcW w:w="659" w:type="dxa"/>
            <w:vAlign w:val="center"/>
          </w:tcPr>
          <w:p>
            <w:pPr>
              <w:jc w:val="center"/>
              <w:rPr>
                <w:rFonts w:asciiTheme="minorEastAsia" w:hAnsiTheme="minorEastAsia"/>
                <w:sz w:val="18"/>
                <w:szCs w:val="18"/>
              </w:rPr>
            </w:pPr>
            <w:r>
              <w:rPr>
                <w:rFonts w:hint="eastAsia" w:asciiTheme="minorEastAsia" w:hAnsiTheme="minorEastAsia"/>
                <w:sz w:val="18"/>
                <w:szCs w:val="18"/>
              </w:rPr>
              <w:t>1</w:t>
            </w:r>
          </w:p>
        </w:tc>
        <w:tc>
          <w:tcPr>
            <w:tcW w:w="1420" w:type="dxa"/>
            <w:vAlign w:val="center"/>
          </w:tcPr>
          <w:p>
            <w:pPr>
              <w:jc w:val="center"/>
              <w:rPr>
                <w:rFonts w:asciiTheme="minorEastAsia" w:hAnsiTheme="minorEastAsia"/>
                <w:sz w:val="18"/>
                <w:szCs w:val="18"/>
              </w:rPr>
            </w:pPr>
            <w:r>
              <w:rPr>
                <w:rFonts w:hint="eastAsia" w:asciiTheme="minorEastAsia" w:hAnsiTheme="minorEastAsia"/>
                <w:sz w:val="18"/>
                <w:szCs w:val="18"/>
              </w:rPr>
              <w:t>0.03</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059" w:type="dxa"/>
            <w:shd w:val="clear" w:color="auto" w:fill="FBE4D5" w:themeFill="accent2" w:themeFillTint="33"/>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重灾区</w:t>
            </w:r>
          </w:p>
        </w:tc>
        <w:tc>
          <w:tcPr>
            <w:tcW w:w="659"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1</w:t>
            </w:r>
          </w:p>
        </w:tc>
        <w:tc>
          <w:tcPr>
            <w:tcW w:w="1420"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0.03</w:t>
            </w:r>
          </w:p>
        </w:tc>
        <w:tc>
          <w:tcPr>
            <w:tcW w:w="657"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w:t>
            </w:r>
          </w:p>
        </w:tc>
        <w:tc>
          <w:tcPr>
            <w:tcW w:w="1422"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0.00</w:t>
            </w:r>
          </w:p>
        </w:tc>
        <w:tc>
          <w:tcPr>
            <w:tcW w:w="659"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1</w:t>
            </w:r>
          </w:p>
        </w:tc>
        <w:tc>
          <w:tcPr>
            <w:tcW w:w="1420"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0.03</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059" w:type="dxa"/>
            <w:vAlign w:val="center"/>
          </w:tcPr>
          <w:p>
            <w:pPr>
              <w:jc w:val="center"/>
              <w:rPr>
                <w:rFonts w:asciiTheme="minorEastAsia" w:hAnsiTheme="minorEastAsia"/>
                <w:b/>
                <w:bCs/>
                <w:sz w:val="18"/>
                <w:szCs w:val="18"/>
              </w:rPr>
            </w:pPr>
            <w:r>
              <w:rPr>
                <w:rFonts w:hint="eastAsia" w:asciiTheme="minorEastAsia" w:hAnsiTheme="minorEastAsia"/>
                <w:b/>
                <w:bCs/>
                <w:sz w:val="18"/>
                <w:szCs w:val="18"/>
              </w:rPr>
              <w:t>总计</w:t>
            </w:r>
          </w:p>
        </w:tc>
        <w:tc>
          <w:tcPr>
            <w:tcW w:w="659" w:type="dxa"/>
            <w:vAlign w:val="center"/>
          </w:tcPr>
          <w:p>
            <w:pPr>
              <w:jc w:val="center"/>
              <w:rPr>
                <w:rFonts w:asciiTheme="minorEastAsia" w:hAnsiTheme="minorEastAsia"/>
                <w:b/>
                <w:sz w:val="18"/>
                <w:szCs w:val="18"/>
              </w:rPr>
            </w:pPr>
            <w:r>
              <w:rPr>
                <w:rFonts w:hint="eastAsia" w:asciiTheme="minorEastAsia" w:hAnsiTheme="minorEastAsia"/>
                <w:b/>
                <w:sz w:val="18"/>
                <w:szCs w:val="18"/>
              </w:rPr>
              <w:t>3266</w:t>
            </w:r>
          </w:p>
        </w:tc>
        <w:tc>
          <w:tcPr>
            <w:tcW w:w="1420" w:type="dxa"/>
            <w:vAlign w:val="center"/>
          </w:tcPr>
          <w:p>
            <w:pPr>
              <w:jc w:val="center"/>
              <w:rPr>
                <w:rFonts w:asciiTheme="minorEastAsia" w:hAnsiTheme="minorEastAsia"/>
                <w:b/>
                <w:sz w:val="18"/>
                <w:szCs w:val="18"/>
              </w:rPr>
            </w:pPr>
            <w:r>
              <w:rPr>
                <w:rFonts w:hint="eastAsia" w:asciiTheme="minorEastAsia" w:hAnsiTheme="minorEastAsia"/>
                <w:b/>
                <w:sz w:val="18"/>
                <w:szCs w:val="18"/>
              </w:rPr>
              <w:t>100.00</w:t>
            </w:r>
          </w:p>
        </w:tc>
        <w:tc>
          <w:tcPr>
            <w:tcW w:w="657" w:type="dxa"/>
            <w:vAlign w:val="center"/>
          </w:tcPr>
          <w:p>
            <w:pPr>
              <w:jc w:val="center"/>
              <w:rPr>
                <w:rFonts w:asciiTheme="minorEastAsia" w:hAnsiTheme="minorEastAsia"/>
                <w:b/>
                <w:sz w:val="18"/>
                <w:szCs w:val="18"/>
              </w:rPr>
            </w:pPr>
            <w:r>
              <w:rPr>
                <w:rFonts w:hint="eastAsia" w:asciiTheme="minorEastAsia" w:hAnsiTheme="minorEastAsia"/>
                <w:b/>
                <w:sz w:val="18"/>
                <w:szCs w:val="18"/>
              </w:rPr>
              <w:t>194</w:t>
            </w:r>
          </w:p>
        </w:tc>
        <w:tc>
          <w:tcPr>
            <w:tcW w:w="1422" w:type="dxa"/>
            <w:vAlign w:val="center"/>
          </w:tcPr>
          <w:p>
            <w:pPr>
              <w:jc w:val="center"/>
              <w:rPr>
                <w:rFonts w:asciiTheme="minorEastAsia" w:hAnsiTheme="minorEastAsia"/>
                <w:b/>
                <w:sz w:val="18"/>
                <w:szCs w:val="18"/>
              </w:rPr>
            </w:pPr>
            <w:r>
              <w:rPr>
                <w:rFonts w:hint="eastAsia" w:asciiTheme="minorEastAsia" w:hAnsiTheme="minorEastAsia"/>
                <w:b/>
                <w:sz w:val="18"/>
                <w:szCs w:val="18"/>
              </w:rPr>
              <w:t>100.00</w:t>
            </w:r>
          </w:p>
        </w:tc>
        <w:tc>
          <w:tcPr>
            <w:tcW w:w="659" w:type="dxa"/>
            <w:vAlign w:val="center"/>
          </w:tcPr>
          <w:p>
            <w:pPr>
              <w:jc w:val="center"/>
              <w:rPr>
                <w:rFonts w:asciiTheme="minorEastAsia" w:hAnsiTheme="minorEastAsia"/>
                <w:b/>
                <w:sz w:val="18"/>
                <w:szCs w:val="18"/>
              </w:rPr>
            </w:pPr>
            <w:r>
              <w:rPr>
                <w:rFonts w:hint="eastAsia" w:asciiTheme="minorEastAsia" w:hAnsiTheme="minorEastAsia"/>
                <w:b/>
                <w:sz w:val="18"/>
                <w:szCs w:val="18"/>
              </w:rPr>
              <w:t>3460</w:t>
            </w:r>
          </w:p>
        </w:tc>
        <w:tc>
          <w:tcPr>
            <w:tcW w:w="1420" w:type="dxa"/>
            <w:vAlign w:val="center"/>
          </w:tcPr>
          <w:p>
            <w:pPr>
              <w:jc w:val="center"/>
              <w:rPr>
                <w:rFonts w:asciiTheme="minorEastAsia" w:hAnsiTheme="minorEastAsia"/>
                <w:b/>
                <w:sz w:val="18"/>
                <w:szCs w:val="18"/>
              </w:rPr>
            </w:pPr>
            <w:r>
              <w:rPr>
                <w:rFonts w:hint="eastAsia" w:asciiTheme="minorEastAsia" w:hAnsiTheme="minorEastAsia"/>
                <w:b/>
                <w:sz w:val="18"/>
                <w:szCs w:val="18"/>
              </w:rPr>
              <w:t>100.00</w:t>
            </w:r>
          </w:p>
        </w:tc>
      </w:tr>
    </w:tbl>
    <w:p>
      <w:pPr>
        <w:spacing w:before="156" w:after="156"/>
      </w:pPr>
    </w:p>
    <w:p>
      <w:pPr>
        <w:spacing w:before="156" w:after="156"/>
      </w:pPr>
    </w:p>
    <w:p>
      <w:pPr>
        <w:spacing w:before="156" w:after="156"/>
      </w:pPr>
    </w:p>
    <w:p>
      <w:pPr>
        <w:spacing w:before="156" w:after="156"/>
      </w:pPr>
    </w:p>
    <w:p>
      <w:pPr>
        <w:spacing w:before="156" w:after="156"/>
      </w:pPr>
    </w:p>
    <w:p>
      <w:pPr>
        <w:spacing w:before="156" w:after="156"/>
      </w:pPr>
    </w:p>
    <w:p>
      <w:pPr>
        <w:spacing w:before="156" w:after="156"/>
      </w:pPr>
    </w:p>
    <w:p>
      <w:pPr>
        <w:spacing w:before="156" w:after="156"/>
      </w:pPr>
    </w:p>
    <w:p>
      <w:pPr>
        <w:spacing w:before="156" w:after="156"/>
      </w:pPr>
    </w:p>
    <w:p>
      <w:pPr>
        <w:spacing w:before="156" w:after="156"/>
      </w:pPr>
    </w:p>
    <w:p>
      <w:pPr>
        <w:spacing w:before="156" w:after="156"/>
      </w:pPr>
    </w:p>
    <w:p>
      <w:pPr>
        <w:spacing w:before="156" w:after="156"/>
      </w:pPr>
    </w:p>
    <w:p>
      <w:pPr>
        <w:spacing w:before="156" w:after="156"/>
      </w:pPr>
    </w:p>
    <w:p>
      <w:pPr>
        <w:pStyle w:val="24"/>
      </w:pPr>
      <w:bookmarkStart w:id="28" w:name="_Toc469038309"/>
      <w:bookmarkStart w:id="29" w:name="_Toc471310912"/>
      <w:r>
        <w:rPr>
          <w:rFonts w:hint="eastAsia"/>
        </w:rPr>
        <w:t xml:space="preserve">第二章 </w:t>
      </w:r>
      <w:r>
        <w:t>201</w:t>
      </w:r>
      <w:r>
        <w:rPr>
          <w:rFonts w:hint="eastAsia"/>
        </w:rPr>
        <w:t>6届毕业生就业状况</w:t>
      </w:r>
      <w:r>
        <w:t>分布</w:t>
      </w:r>
      <w:bookmarkEnd w:id="28"/>
      <w:bookmarkEnd w:id="29"/>
    </w:p>
    <w:p>
      <w:pPr>
        <w:pStyle w:val="25"/>
      </w:pPr>
      <w:bookmarkStart w:id="30" w:name="_Toc471310913"/>
      <w:bookmarkStart w:id="31" w:name="_Toc469038310"/>
      <w:r>
        <w:rPr>
          <w:rFonts w:hint="eastAsia"/>
        </w:rPr>
        <w:t>一、初次就业率</w:t>
      </w:r>
      <w:bookmarkEnd w:id="30"/>
      <w:bookmarkEnd w:id="31"/>
    </w:p>
    <w:p>
      <w:pPr>
        <w:pStyle w:val="40"/>
      </w:pPr>
      <w:r>
        <w:rPr>
          <w:rFonts w:hint="eastAsia"/>
        </w:rPr>
        <w:t>就业率=（已落实就业单位毕业生人数/毕业生总人数）×100%</w:t>
      </w:r>
    </w:p>
    <w:p>
      <w:pPr>
        <w:pStyle w:val="40"/>
      </w:pPr>
      <w:r>
        <w:rPr>
          <w:rFonts w:hint="eastAsia"/>
        </w:rPr>
        <w:t>已落实就业单位毕业生人数=签就业协议形式就业人数+出国、出境人数+</w:t>
      </w:r>
      <w:r>
        <w:t>升学</w:t>
      </w:r>
      <w:r>
        <w:rPr>
          <w:rFonts w:hint="eastAsia"/>
        </w:rPr>
        <w:t>人数</w:t>
      </w:r>
    </w:p>
    <w:p>
      <w:pPr>
        <w:pStyle w:val="30"/>
      </w:pPr>
      <w:bookmarkStart w:id="32" w:name="_Toc469038311"/>
      <w:bookmarkStart w:id="33" w:name="_Toc471310914"/>
      <w:r>
        <w:rPr>
          <w:rFonts w:hint="eastAsia"/>
        </w:rPr>
        <w:t>（一）2016届毕业生不同性别初次就业率</w:t>
      </w:r>
      <w:bookmarkEnd w:id="32"/>
      <w:bookmarkEnd w:id="33"/>
      <w:r>
        <w:rPr>
          <w:rFonts w:hint="eastAsia"/>
        </w:rPr>
        <w:tab/>
      </w:r>
    </w:p>
    <w:p>
      <w:pPr>
        <w:pStyle w:val="40"/>
      </w:pPr>
      <w:r>
        <w:rPr>
          <w:rFonts w:hint="eastAsia"/>
        </w:rPr>
        <w:t>截止2016年8月31日</w:t>
      </w:r>
      <w:r>
        <w:t>，湖南商学院</w:t>
      </w:r>
      <w:r>
        <w:rPr>
          <w:rFonts w:hint="eastAsia"/>
        </w:rPr>
        <w:t>2016届</w:t>
      </w:r>
      <w:r>
        <w:t>毕业生初次就业率为</w:t>
      </w:r>
      <w:r>
        <w:rPr>
          <w:rFonts w:hint="eastAsia"/>
        </w:rPr>
        <w:t>92.</w:t>
      </w:r>
      <w:r>
        <w:t>25</w:t>
      </w:r>
      <w:r>
        <w:rPr>
          <w:rFonts w:hint="eastAsia"/>
        </w:rPr>
        <w:t>%</w:t>
      </w:r>
      <w:r>
        <w:t>，其中男性毕业生初次就业率为</w:t>
      </w:r>
      <w:r>
        <w:rPr>
          <w:rFonts w:hint="eastAsia"/>
        </w:rPr>
        <w:t>91.</w:t>
      </w:r>
      <w:r>
        <w:t>43%，女性毕业生初次就业率</w:t>
      </w:r>
      <w:r>
        <w:rPr>
          <w:rFonts w:hint="eastAsia"/>
        </w:rPr>
        <w:t>92.</w:t>
      </w:r>
      <w:r>
        <w:t>62%</w:t>
      </w:r>
      <w:r>
        <w:rPr>
          <w:rFonts w:hint="eastAsia"/>
        </w:rPr>
        <w:t>，</w:t>
      </w:r>
      <w:r>
        <w:t>女性毕业生初次就业率略高于男</w:t>
      </w:r>
      <w:r>
        <w:rPr>
          <w:rFonts w:hint="eastAsia"/>
        </w:rPr>
        <w:t>性</w:t>
      </w:r>
      <w:r>
        <w:t>。</w:t>
      </w:r>
    </w:p>
    <w:p>
      <w:pPr>
        <w:spacing w:before="156" w:after="156"/>
        <w:jc w:val="center"/>
      </w:pPr>
      <w:r>
        <w:drawing>
          <wp:inline distT="0" distB="0" distL="0" distR="0">
            <wp:extent cx="4610100" cy="3114675"/>
            <wp:effectExtent l="0" t="0" r="0" b="9525"/>
            <wp:docPr id="73" name="图表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8"/>
        <w:jc w:val="center"/>
        <w:rPr>
          <w:rFonts w:asciiTheme="majorEastAsia" w:hAnsiTheme="majorEastAsia" w:eastAsiaTheme="majorEastAsia"/>
          <w:sz w:val="18"/>
          <w:szCs w:val="18"/>
        </w:rPr>
      </w:pPr>
      <w:bookmarkStart w:id="34" w:name="_Toc470887046"/>
      <w:r>
        <w:rPr>
          <w:rFonts w:hint="eastAsia" w:asciiTheme="majorEastAsia" w:hAnsiTheme="majorEastAsia" w:eastAsiaTheme="majorEastAsia"/>
          <w:sz w:val="18"/>
          <w:szCs w:val="18"/>
        </w:rPr>
        <w:t>图2-</w:t>
      </w:r>
      <w:r>
        <w:rPr>
          <w:rFonts w:asciiTheme="majorEastAsia" w:hAnsiTheme="majorEastAsia" w:eastAsiaTheme="majorEastAsia"/>
          <w:sz w:val="18"/>
          <w:szCs w:val="18"/>
        </w:rPr>
        <w:fldChar w:fldCharType="begin"/>
      </w:r>
      <w:r>
        <w:rPr>
          <w:rFonts w:asciiTheme="majorEastAsia" w:hAnsiTheme="majorEastAsia" w:eastAsiaTheme="majorEastAsia"/>
          <w:sz w:val="18"/>
          <w:szCs w:val="18"/>
        </w:rPr>
        <w:instrText xml:space="preserve"> </w:instrText>
      </w:r>
      <w:r>
        <w:rPr>
          <w:rFonts w:hint="eastAsia" w:asciiTheme="majorEastAsia" w:hAnsiTheme="majorEastAsia" w:eastAsiaTheme="majorEastAsia"/>
          <w:sz w:val="18"/>
          <w:szCs w:val="18"/>
        </w:rPr>
        <w:instrText xml:space="preserve">SEQ 图2- \* ARABIC</w:instrText>
      </w:r>
      <w:r>
        <w:rPr>
          <w:rFonts w:asciiTheme="majorEastAsia" w:hAnsiTheme="majorEastAsia" w:eastAsiaTheme="majorEastAsia"/>
          <w:sz w:val="18"/>
          <w:szCs w:val="18"/>
        </w:rPr>
        <w:instrText xml:space="preserve"> </w:instrText>
      </w:r>
      <w:r>
        <w:rPr>
          <w:rFonts w:asciiTheme="majorEastAsia" w:hAnsiTheme="majorEastAsia" w:eastAsiaTheme="majorEastAsia"/>
          <w:sz w:val="18"/>
          <w:szCs w:val="18"/>
        </w:rPr>
        <w:fldChar w:fldCharType="separate"/>
      </w:r>
      <w:r>
        <w:rPr>
          <w:rFonts w:asciiTheme="majorEastAsia" w:hAnsiTheme="majorEastAsia" w:eastAsiaTheme="majorEastAsia"/>
          <w:sz w:val="18"/>
          <w:szCs w:val="18"/>
        </w:rPr>
        <w:t>1</w:t>
      </w:r>
      <w:r>
        <w:rPr>
          <w:rFonts w:asciiTheme="majorEastAsia" w:hAnsiTheme="majorEastAsia" w:eastAsiaTheme="majorEastAsia"/>
          <w:sz w:val="18"/>
          <w:szCs w:val="18"/>
        </w:rPr>
        <w:fldChar w:fldCharType="end"/>
      </w:r>
      <w:r>
        <w:rPr>
          <w:rFonts w:asciiTheme="majorEastAsia" w:hAnsiTheme="majorEastAsia" w:eastAsiaTheme="majorEastAsia"/>
          <w:sz w:val="18"/>
          <w:szCs w:val="18"/>
        </w:rPr>
        <w:t xml:space="preserve"> </w:t>
      </w:r>
      <w:r>
        <w:rPr>
          <w:rFonts w:hint="eastAsia" w:asciiTheme="majorEastAsia" w:hAnsiTheme="majorEastAsia" w:eastAsiaTheme="majorEastAsia"/>
          <w:sz w:val="18"/>
          <w:szCs w:val="18"/>
        </w:rPr>
        <w:t>2016届</w:t>
      </w:r>
      <w:r>
        <w:rPr>
          <w:rFonts w:asciiTheme="majorEastAsia" w:hAnsiTheme="majorEastAsia" w:eastAsiaTheme="majorEastAsia"/>
          <w:sz w:val="18"/>
          <w:szCs w:val="18"/>
        </w:rPr>
        <w:t>毕业生分性别就业率分布</w:t>
      </w:r>
      <w:bookmarkEnd w:id="34"/>
    </w:p>
    <w:p>
      <w:pPr>
        <w:pStyle w:val="30"/>
        <w:spacing w:before="156" w:after="156"/>
      </w:pPr>
      <w:bookmarkStart w:id="35" w:name="_Toc469038312"/>
      <w:bookmarkStart w:id="36" w:name="_Toc471310915"/>
      <w:r>
        <w:rPr>
          <w:rFonts w:hint="eastAsia"/>
        </w:rPr>
        <w:t>（二）2016届毕业生不同学历层次初次就业率</w:t>
      </w:r>
      <w:bookmarkEnd w:id="35"/>
      <w:bookmarkEnd w:id="36"/>
      <w:r>
        <w:rPr>
          <w:rFonts w:hint="eastAsia"/>
        </w:rPr>
        <w:tab/>
      </w:r>
    </w:p>
    <w:p>
      <w:pPr>
        <w:pStyle w:val="40"/>
      </w:pPr>
      <w:r>
        <w:rPr>
          <w:rFonts w:hint="eastAsia"/>
        </w:rPr>
        <w:t>分学历</w:t>
      </w:r>
      <w:r>
        <w:t>层次来看，</w:t>
      </w:r>
      <w:r>
        <w:rPr>
          <w:rFonts w:hint="eastAsia"/>
        </w:rPr>
        <w:t>学校</w:t>
      </w:r>
      <w:r>
        <w:t>本科毕业生共</w:t>
      </w:r>
      <w:r>
        <w:rPr>
          <w:rFonts w:hint="eastAsia"/>
        </w:rPr>
        <w:t>3266人</w:t>
      </w:r>
      <w:r>
        <w:t>，其中已就业人数为</w:t>
      </w:r>
      <w:r>
        <w:rPr>
          <w:rFonts w:hint="eastAsia"/>
        </w:rPr>
        <w:t>301</w:t>
      </w:r>
      <w:r>
        <w:t>0</w:t>
      </w:r>
      <w:r>
        <w:rPr>
          <w:rFonts w:hint="eastAsia"/>
        </w:rPr>
        <w:t>人</w:t>
      </w:r>
      <w:r>
        <w:t>，就业率为</w:t>
      </w:r>
      <w:r>
        <w:rPr>
          <w:rFonts w:hint="eastAsia"/>
        </w:rPr>
        <w:t>92.</w:t>
      </w:r>
      <w:r>
        <w:t>16%；专科毕业生</w:t>
      </w:r>
      <w:r>
        <w:rPr>
          <w:rFonts w:hint="eastAsia"/>
        </w:rPr>
        <w:t>194人</w:t>
      </w:r>
      <w:r>
        <w:t>，其中已就业人数为</w:t>
      </w:r>
      <w:r>
        <w:rPr>
          <w:rFonts w:hint="eastAsia"/>
        </w:rPr>
        <w:t>182人</w:t>
      </w:r>
      <w:r>
        <w:t>，就业率为</w:t>
      </w:r>
      <w:r>
        <w:rPr>
          <w:rFonts w:hint="eastAsia"/>
        </w:rPr>
        <w:t>93.81</w:t>
      </w:r>
      <w:r>
        <w:t>%。对比</w:t>
      </w:r>
      <w:r>
        <w:rPr>
          <w:rFonts w:hint="eastAsia"/>
        </w:rPr>
        <w:t>就业率</w:t>
      </w:r>
      <w:r>
        <w:t>，专科毕业生</w:t>
      </w:r>
      <w:r>
        <w:rPr>
          <w:rFonts w:hint="eastAsia"/>
        </w:rPr>
        <w:t>要</w:t>
      </w:r>
      <w:r>
        <w:t>略高于本科毕业生</w:t>
      </w:r>
      <w:r>
        <w:rPr>
          <w:rFonts w:hint="eastAsia"/>
        </w:rPr>
        <w:t>，</w:t>
      </w:r>
      <w:r>
        <w:t>也略高于总体就业率水平。</w:t>
      </w:r>
    </w:p>
    <w:p>
      <w:pPr>
        <w:pStyle w:val="8"/>
        <w:jc w:val="center"/>
        <w:rPr>
          <w:rFonts w:asciiTheme="majorEastAsia" w:hAnsiTheme="majorEastAsia" w:eastAsiaTheme="majorEastAsia"/>
          <w:sz w:val="18"/>
          <w:szCs w:val="18"/>
        </w:rPr>
      </w:pPr>
      <w:bookmarkStart w:id="37" w:name="_Toc470886986"/>
      <w:r>
        <w:rPr>
          <w:rFonts w:hint="eastAsia" w:asciiTheme="majorEastAsia" w:hAnsiTheme="majorEastAsia" w:eastAsiaTheme="majorEastAsia"/>
          <w:sz w:val="18"/>
          <w:szCs w:val="18"/>
        </w:rPr>
        <w:t>表2-</w:t>
      </w:r>
      <w:r>
        <w:rPr>
          <w:rFonts w:asciiTheme="majorEastAsia" w:hAnsiTheme="majorEastAsia" w:eastAsiaTheme="majorEastAsia"/>
          <w:sz w:val="18"/>
          <w:szCs w:val="18"/>
        </w:rPr>
        <w:fldChar w:fldCharType="begin"/>
      </w:r>
      <w:r>
        <w:rPr>
          <w:rFonts w:asciiTheme="majorEastAsia" w:hAnsiTheme="majorEastAsia" w:eastAsiaTheme="majorEastAsia"/>
          <w:sz w:val="18"/>
          <w:szCs w:val="18"/>
        </w:rPr>
        <w:instrText xml:space="preserve"> </w:instrText>
      </w:r>
      <w:r>
        <w:rPr>
          <w:rFonts w:hint="eastAsia" w:asciiTheme="majorEastAsia" w:hAnsiTheme="majorEastAsia" w:eastAsiaTheme="majorEastAsia"/>
          <w:sz w:val="18"/>
          <w:szCs w:val="18"/>
        </w:rPr>
        <w:instrText xml:space="preserve">SEQ 表2- \* ARABIC</w:instrText>
      </w:r>
      <w:r>
        <w:rPr>
          <w:rFonts w:asciiTheme="majorEastAsia" w:hAnsiTheme="majorEastAsia" w:eastAsiaTheme="majorEastAsia"/>
          <w:sz w:val="18"/>
          <w:szCs w:val="18"/>
        </w:rPr>
        <w:instrText xml:space="preserve"> </w:instrText>
      </w:r>
      <w:r>
        <w:rPr>
          <w:rFonts w:asciiTheme="majorEastAsia" w:hAnsiTheme="majorEastAsia" w:eastAsiaTheme="majorEastAsia"/>
          <w:sz w:val="18"/>
          <w:szCs w:val="18"/>
        </w:rPr>
        <w:fldChar w:fldCharType="separate"/>
      </w:r>
      <w:r>
        <w:rPr>
          <w:rFonts w:asciiTheme="majorEastAsia" w:hAnsiTheme="majorEastAsia" w:eastAsiaTheme="majorEastAsia"/>
          <w:sz w:val="18"/>
          <w:szCs w:val="18"/>
        </w:rPr>
        <w:t>1</w:t>
      </w:r>
      <w:r>
        <w:rPr>
          <w:rFonts w:asciiTheme="majorEastAsia" w:hAnsiTheme="majorEastAsia" w:eastAsiaTheme="majorEastAsia"/>
          <w:sz w:val="18"/>
          <w:szCs w:val="18"/>
        </w:rPr>
        <w:fldChar w:fldCharType="end"/>
      </w:r>
      <w:r>
        <w:rPr>
          <w:rFonts w:asciiTheme="majorEastAsia" w:hAnsiTheme="majorEastAsia" w:eastAsiaTheme="majorEastAsia"/>
          <w:sz w:val="18"/>
          <w:szCs w:val="18"/>
        </w:rPr>
        <w:t xml:space="preserve"> </w:t>
      </w:r>
      <w:r>
        <w:rPr>
          <w:rFonts w:hint="eastAsia" w:asciiTheme="majorEastAsia" w:hAnsiTheme="majorEastAsia" w:eastAsiaTheme="majorEastAsia"/>
          <w:sz w:val="18"/>
          <w:szCs w:val="18"/>
        </w:rPr>
        <w:t>2016届</w:t>
      </w:r>
      <w:r>
        <w:rPr>
          <w:rFonts w:asciiTheme="majorEastAsia" w:hAnsiTheme="majorEastAsia" w:eastAsiaTheme="majorEastAsia"/>
          <w:sz w:val="18"/>
          <w:szCs w:val="18"/>
        </w:rPr>
        <w:t>毕业生不同学历层次初次就业率分布</w:t>
      </w:r>
      <w:bookmarkEnd w:id="37"/>
    </w:p>
    <w:tbl>
      <w:tblPr>
        <w:tblStyle w:val="50"/>
        <w:tblW w:w="8296" w:type="dxa"/>
        <w:tblInd w:w="0" w:type="dxa"/>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
      <w:tblGrid>
        <w:gridCol w:w="2267"/>
        <w:gridCol w:w="2266"/>
        <w:gridCol w:w="1842"/>
        <w:gridCol w:w="1921"/>
      </w:tblGrid>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67" w:type="dxa"/>
            <w:tcBorders>
              <w:top w:val="single" w:color="ED7D31" w:themeColor="accent2" w:sz="4" w:space="0"/>
              <w:left w:val="single" w:color="ED7D31" w:themeColor="accent2" w:sz="4" w:space="0"/>
              <w:bottom w:val="single" w:color="ED7D31" w:themeColor="accent2" w:sz="4" w:space="0"/>
              <w:right w:val="nil"/>
              <w:insideH w:val="single" w:sz="4" w:space="0"/>
              <w:insideV w:val="nil"/>
            </w:tcBorders>
            <w:shd w:val="clear" w:color="auto" w:fill="ED7D31" w:themeFill="accent2"/>
            <w:vAlign w:val="center"/>
          </w:tcPr>
          <w:p>
            <w:pPr>
              <w:jc w:val="center"/>
              <w:rPr>
                <w:rFonts w:asciiTheme="minorEastAsia" w:hAnsiTheme="minorEastAsia"/>
                <w:b/>
                <w:bCs/>
                <w:color w:val="FFFFFF" w:themeColor="background1"/>
                <w:sz w:val="18"/>
                <w:szCs w:val="18"/>
                <w14:textFill>
                  <w14:solidFill>
                    <w14:schemeClr w14:val="bg1"/>
                  </w14:solidFill>
                </w14:textFill>
              </w:rPr>
            </w:pPr>
            <w:r>
              <w:rPr>
                <w:rFonts w:hint="eastAsia" w:asciiTheme="minorEastAsia" w:hAnsiTheme="minorEastAsia"/>
                <w:b/>
                <w:bCs/>
                <w:color w:val="FFFFFF" w:themeColor="background1"/>
                <w:sz w:val="18"/>
                <w:szCs w:val="18"/>
                <w14:textFill>
                  <w14:solidFill>
                    <w14:schemeClr w14:val="bg1"/>
                  </w14:solidFill>
                </w14:textFill>
              </w:rPr>
              <w:t>学历</w:t>
            </w:r>
          </w:p>
        </w:tc>
        <w:tc>
          <w:tcPr>
            <w:tcW w:w="2266" w:type="dxa"/>
            <w:tcBorders>
              <w:top w:val="single" w:color="ED7D31" w:themeColor="accent2" w:sz="4" w:space="0"/>
              <w:bottom w:val="single" w:color="ED7D31" w:themeColor="accent2" w:sz="4" w:space="0"/>
              <w:right w:val="nil"/>
              <w:insideH w:val="single" w:sz="4" w:space="0"/>
              <w:insideV w:val="nil"/>
            </w:tcBorders>
            <w:shd w:val="clear" w:color="auto" w:fill="ED7D31" w:themeFill="accent2"/>
            <w:vAlign w:val="center"/>
          </w:tcPr>
          <w:p>
            <w:pPr>
              <w:jc w:val="center"/>
              <w:rPr>
                <w:rFonts w:asciiTheme="minorEastAsia" w:hAnsiTheme="minorEastAsia"/>
                <w:b/>
                <w:bCs/>
                <w:color w:val="FFFFFF" w:themeColor="background1"/>
                <w:sz w:val="18"/>
                <w:szCs w:val="18"/>
                <w14:textFill>
                  <w14:solidFill>
                    <w14:schemeClr w14:val="bg1"/>
                  </w14:solidFill>
                </w14:textFill>
              </w:rPr>
            </w:pPr>
            <w:r>
              <w:rPr>
                <w:rFonts w:hint="eastAsia" w:asciiTheme="minorEastAsia" w:hAnsiTheme="minorEastAsia"/>
                <w:b/>
                <w:bCs/>
                <w:color w:val="FFFFFF" w:themeColor="background1"/>
                <w:sz w:val="18"/>
                <w:szCs w:val="18"/>
                <w14:textFill>
                  <w14:solidFill>
                    <w14:schemeClr w14:val="bg1"/>
                  </w14:solidFill>
                </w14:textFill>
              </w:rPr>
              <w:t>毕业生人数</w:t>
            </w:r>
          </w:p>
        </w:tc>
        <w:tc>
          <w:tcPr>
            <w:tcW w:w="1842" w:type="dxa"/>
            <w:tcBorders>
              <w:top w:val="single" w:color="ED7D31" w:themeColor="accent2" w:sz="4" w:space="0"/>
              <w:bottom w:val="single" w:color="ED7D31" w:themeColor="accent2" w:sz="4" w:space="0"/>
              <w:right w:val="nil"/>
              <w:insideH w:val="single" w:sz="4" w:space="0"/>
              <w:insideV w:val="nil"/>
            </w:tcBorders>
            <w:shd w:val="clear" w:color="auto" w:fill="ED7D31" w:themeFill="accent2"/>
            <w:vAlign w:val="center"/>
          </w:tcPr>
          <w:p>
            <w:pPr>
              <w:jc w:val="center"/>
              <w:rPr>
                <w:rFonts w:asciiTheme="minorEastAsia" w:hAnsiTheme="minorEastAsia"/>
                <w:b/>
                <w:bCs/>
                <w:color w:val="FFFFFF" w:themeColor="background1"/>
                <w:sz w:val="18"/>
                <w:szCs w:val="18"/>
                <w14:textFill>
                  <w14:solidFill>
                    <w14:schemeClr w14:val="bg1"/>
                  </w14:solidFill>
                </w14:textFill>
              </w:rPr>
            </w:pPr>
            <w:r>
              <w:rPr>
                <w:rFonts w:hint="eastAsia" w:asciiTheme="minorEastAsia" w:hAnsiTheme="minorEastAsia"/>
                <w:b/>
                <w:bCs/>
                <w:color w:val="FFFFFF" w:themeColor="background1"/>
                <w:sz w:val="18"/>
                <w:szCs w:val="18"/>
                <w14:textFill>
                  <w14:solidFill>
                    <w14:schemeClr w14:val="bg1"/>
                  </w14:solidFill>
                </w14:textFill>
              </w:rPr>
              <w:t>已就业人数</w:t>
            </w:r>
          </w:p>
        </w:tc>
        <w:tc>
          <w:tcPr>
            <w:tcW w:w="1921" w:type="dxa"/>
            <w:tcBorders>
              <w:top w:val="single" w:color="ED7D31" w:themeColor="accent2" w:sz="4" w:space="0"/>
              <w:bottom w:val="single" w:color="ED7D31" w:themeColor="accent2" w:sz="4" w:space="0"/>
              <w:right w:val="single" w:color="ED7D31" w:themeColor="accent2" w:sz="4" w:space="0"/>
              <w:insideH w:val="single" w:sz="4" w:space="0"/>
              <w:insideV w:val="nil"/>
            </w:tcBorders>
            <w:shd w:val="clear" w:color="auto" w:fill="ED7D31" w:themeFill="accent2"/>
            <w:vAlign w:val="center"/>
          </w:tcPr>
          <w:p>
            <w:pPr>
              <w:jc w:val="center"/>
              <w:rPr>
                <w:rFonts w:asciiTheme="minorEastAsia" w:hAnsiTheme="minorEastAsia"/>
                <w:b/>
                <w:bCs/>
                <w:color w:val="FFFFFF" w:themeColor="background1"/>
                <w:sz w:val="18"/>
                <w:szCs w:val="18"/>
                <w14:textFill>
                  <w14:solidFill>
                    <w14:schemeClr w14:val="bg1"/>
                  </w14:solidFill>
                </w14:textFill>
              </w:rPr>
            </w:pPr>
            <w:r>
              <w:rPr>
                <w:rFonts w:hint="eastAsia" w:asciiTheme="minorEastAsia" w:hAnsiTheme="minorEastAsia"/>
                <w:b/>
                <w:bCs/>
                <w:color w:val="FFFFFF" w:themeColor="background1"/>
                <w:sz w:val="18"/>
                <w:szCs w:val="18"/>
                <w14:textFill>
                  <w14:solidFill>
                    <w14:schemeClr w14:val="bg1"/>
                  </w14:solidFill>
                </w14:textFill>
              </w:rPr>
              <w:t>就业率（%</w:t>
            </w:r>
            <w:r>
              <w:rPr>
                <w:rFonts w:asciiTheme="minorEastAsia" w:hAnsiTheme="minorEastAsia"/>
                <w:b/>
                <w:bCs/>
                <w:color w:val="FFFFFF" w:themeColor="background1"/>
                <w:sz w:val="18"/>
                <w:szCs w:val="18"/>
                <w14:textFill>
                  <w14:solidFill>
                    <w14:schemeClr w14:val="bg1"/>
                  </w14:solidFill>
                </w14:textFill>
              </w:rPr>
              <w:t>）</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67" w:type="dxa"/>
            <w:shd w:val="clear" w:color="auto" w:fill="FBE4D5" w:themeFill="accent2" w:themeFillTint="33"/>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本科生毕业</w:t>
            </w:r>
          </w:p>
        </w:tc>
        <w:tc>
          <w:tcPr>
            <w:tcW w:w="2266"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3266</w:t>
            </w:r>
          </w:p>
        </w:tc>
        <w:tc>
          <w:tcPr>
            <w:tcW w:w="1842"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3010</w:t>
            </w:r>
          </w:p>
        </w:tc>
        <w:tc>
          <w:tcPr>
            <w:tcW w:w="1921" w:type="dxa"/>
            <w:shd w:val="clear" w:color="auto" w:fill="FBE4D5" w:themeFill="accent2" w:themeFillTint="33"/>
            <w:vAlign w:val="center"/>
          </w:tcPr>
          <w:p>
            <w:pPr>
              <w:jc w:val="center"/>
              <w:rPr>
                <w:rFonts w:asciiTheme="minorEastAsia" w:hAnsiTheme="minorEastAsia"/>
                <w:sz w:val="18"/>
                <w:szCs w:val="18"/>
              </w:rPr>
            </w:pPr>
            <w:r>
              <w:rPr>
                <w:rFonts w:asciiTheme="minorEastAsia" w:hAnsiTheme="minorEastAsia"/>
                <w:sz w:val="18"/>
                <w:szCs w:val="18"/>
              </w:rPr>
              <w:t>92.16</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67" w:type="dxa"/>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专科生毕业</w:t>
            </w:r>
          </w:p>
        </w:tc>
        <w:tc>
          <w:tcPr>
            <w:tcW w:w="2266" w:type="dxa"/>
            <w:vAlign w:val="center"/>
          </w:tcPr>
          <w:p>
            <w:pPr>
              <w:jc w:val="center"/>
              <w:rPr>
                <w:rFonts w:asciiTheme="minorEastAsia" w:hAnsiTheme="minorEastAsia"/>
                <w:sz w:val="18"/>
                <w:szCs w:val="18"/>
              </w:rPr>
            </w:pPr>
            <w:r>
              <w:rPr>
                <w:rFonts w:hint="eastAsia" w:asciiTheme="minorEastAsia" w:hAnsiTheme="minorEastAsia"/>
                <w:sz w:val="18"/>
                <w:szCs w:val="18"/>
              </w:rPr>
              <w:t>194</w:t>
            </w:r>
          </w:p>
        </w:tc>
        <w:tc>
          <w:tcPr>
            <w:tcW w:w="1842" w:type="dxa"/>
            <w:vAlign w:val="center"/>
          </w:tcPr>
          <w:p>
            <w:pPr>
              <w:jc w:val="center"/>
              <w:rPr>
                <w:rFonts w:asciiTheme="minorEastAsia" w:hAnsiTheme="minorEastAsia"/>
                <w:sz w:val="18"/>
                <w:szCs w:val="18"/>
              </w:rPr>
            </w:pPr>
            <w:r>
              <w:rPr>
                <w:rFonts w:hint="eastAsia" w:asciiTheme="minorEastAsia" w:hAnsiTheme="minorEastAsia"/>
                <w:sz w:val="18"/>
                <w:szCs w:val="18"/>
              </w:rPr>
              <w:t>182</w:t>
            </w:r>
          </w:p>
        </w:tc>
        <w:tc>
          <w:tcPr>
            <w:tcW w:w="1921" w:type="dxa"/>
            <w:vAlign w:val="center"/>
          </w:tcPr>
          <w:p>
            <w:pPr>
              <w:jc w:val="center"/>
              <w:rPr>
                <w:rFonts w:asciiTheme="minorEastAsia" w:hAnsiTheme="minorEastAsia"/>
                <w:sz w:val="18"/>
                <w:szCs w:val="18"/>
              </w:rPr>
            </w:pPr>
            <w:r>
              <w:rPr>
                <w:rFonts w:hint="eastAsia" w:asciiTheme="minorEastAsia" w:hAnsiTheme="minorEastAsia"/>
                <w:sz w:val="18"/>
                <w:szCs w:val="18"/>
              </w:rPr>
              <w:t>93.81</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67" w:type="dxa"/>
            <w:shd w:val="clear" w:color="auto" w:fill="FBE4D5" w:themeFill="accent2" w:themeFillTint="33"/>
            <w:vAlign w:val="center"/>
          </w:tcPr>
          <w:p>
            <w:pPr>
              <w:jc w:val="center"/>
              <w:rPr>
                <w:rFonts w:asciiTheme="minorEastAsia" w:hAnsiTheme="minorEastAsia"/>
                <w:b/>
                <w:bCs/>
                <w:sz w:val="18"/>
                <w:szCs w:val="18"/>
              </w:rPr>
            </w:pPr>
            <w:r>
              <w:rPr>
                <w:rFonts w:hint="eastAsia" w:asciiTheme="minorEastAsia" w:hAnsiTheme="minorEastAsia"/>
                <w:b/>
                <w:bCs/>
                <w:sz w:val="18"/>
                <w:szCs w:val="18"/>
              </w:rPr>
              <w:t>总计</w:t>
            </w:r>
          </w:p>
        </w:tc>
        <w:tc>
          <w:tcPr>
            <w:tcW w:w="2266"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3460</w:t>
            </w:r>
          </w:p>
        </w:tc>
        <w:tc>
          <w:tcPr>
            <w:tcW w:w="1842"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3192</w:t>
            </w:r>
          </w:p>
        </w:tc>
        <w:tc>
          <w:tcPr>
            <w:tcW w:w="1921"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92.25</w:t>
            </w:r>
          </w:p>
        </w:tc>
      </w:tr>
    </w:tbl>
    <w:p/>
    <w:p>
      <w:pPr>
        <w:pStyle w:val="30"/>
        <w:spacing w:before="156" w:after="156"/>
      </w:pPr>
      <w:bookmarkStart w:id="38" w:name="_Toc471310916"/>
      <w:bookmarkStart w:id="39" w:name="_Toc469038313"/>
      <w:r>
        <w:rPr>
          <w:rFonts w:hint="eastAsia"/>
        </w:rPr>
        <w:t>（三）2016届毕业生不同专业初次就业率</w:t>
      </w:r>
      <w:bookmarkEnd w:id="38"/>
      <w:bookmarkEnd w:id="39"/>
      <w:r>
        <w:rPr>
          <w:rFonts w:hint="eastAsia"/>
        </w:rPr>
        <w:tab/>
      </w:r>
    </w:p>
    <w:p>
      <w:pPr>
        <w:pStyle w:val="40"/>
      </w:pPr>
      <w:r>
        <w:rPr>
          <w:rFonts w:hint="eastAsia"/>
        </w:rPr>
        <w:t>分专业</w:t>
      </w:r>
      <w:r>
        <w:t>对比</w:t>
      </w:r>
      <w:r>
        <w:rPr>
          <w:rFonts w:hint="eastAsia"/>
        </w:rPr>
        <w:t>2016届</w:t>
      </w:r>
      <w:r>
        <w:t>毕业生就业率，可知，有</w:t>
      </w:r>
      <w:r>
        <w:rPr>
          <w:rFonts w:hint="eastAsia"/>
        </w:rPr>
        <w:t>9个</w:t>
      </w:r>
      <w:r>
        <w:t>专业的就业率达到</w:t>
      </w:r>
      <w:r>
        <w:rPr>
          <w:rFonts w:hint="eastAsia"/>
        </w:rPr>
        <w:t>100.00</w:t>
      </w:r>
      <w:r>
        <w:t>%</w:t>
      </w:r>
      <w:r>
        <w:rPr>
          <w:rFonts w:hint="eastAsia"/>
        </w:rPr>
        <w:t>，</w:t>
      </w:r>
      <w:r>
        <w:t>就业率最低的专业为审计学专业，为</w:t>
      </w:r>
      <w:r>
        <w:rPr>
          <w:rFonts w:hint="eastAsia"/>
        </w:rPr>
        <w:t>80.85</w:t>
      </w:r>
      <w:r>
        <w:t>%</w:t>
      </w:r>
      <w:r>
        <w:rPr>
          <w:rFonts w:hint="eastAsia"/>
        </w:rPr>
        <w:t>。毕业生</w:t>
      </w:r>
      <w:r>
        <w:t>人数最多的两个专业为会计学专业与金融学专业，人数分别为</w:t>
      </w:r>
      <w:r>
        <w:rPr>
          <w:rFonts w:hint="eastAsia"/>
        </w:rPr>
        <w:t>509人</w:t>
      </w:r>
      <w:r>
        <w:t>和</w:t>
      </w:r>
      <w:r>
        <w:rPr>
          <w:rFonts w:hint="eastAsia"/>
        </w:rPr>
        <w:t>333人</w:t>
      </w:r>
      <w:r>
        <w:t>，</w:t>
      </w:r>
      <w:r>
        <w:rPr>
          <w:rFonts w:hint="eastAsia"/>
        </w:rPr>
        <w:t>就业率</w:t>
      </w:r>
      <w:r>
        <w:t>分别是</w:t>
      </w:r>
      <w:r>
        <w:rPr>
          <w:rFonts w:hint="eastAsia"/>
        </w:rPr>
        <w:t>86.44</w:t>
      </w:r>
      <w:r>
        <w:t>%、93.09%。</w:t>
      </w:r>
      <w:r>
        <w:rPr>
          <w:rFonts w:hint="eastAsia"/>
        </w:rPr>
        <w:t>各专业</w:t>
      </w:r>
      <w:r>
        <w:t>具体就业率见</w:t>
      </w:r>
      <w:r>
        <w:rPr>
          <w:rFonts w:hint="eastAsia"/>
        </w:rPr>
        <w:t>表2</w:t>
      </w:r>
      <w:r>
        <w:t>-2。</w:t>
      </w:r>
    </w:p>
    <w:p>
      <w:pPr>
        <w:pStyle w:val="8"/>
        <w:jc w:val="center"/>
        <w:rPr>
          <w:rFonts w:asciiTheme="minorEastAsia" w:hAnsiTheme="minorEastAsia" w:eastAsiaTheme="minorEastAsia"/>
          <w:sz w:val="18"/>
          <w:szCs w:val="18"/>
        </w:rPr>
      </w:pPr>
      <w:bookmarkStart w:id="40" w:name="_Toc470886987"/>
      <w:r>
        <w:rPr>
          <w:rFonts w:hint="eastAsia" w:asciiTheme="minorEastAsia" w:hAnsiTheme="minorEastAsia" w:eastAsiaTheme="minorEastAsia"/>
          <w:sz w:val="18"/>
          <w:szCs w:val="18"/>
        </w:rPr>
        <w:t>表2-</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表2-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2</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2016</w:t>
      </w:r>
      <w:r>
        <w:rPr>
          <w:rFonts w:hint="eastAsia" w:asciiTheme="minorEastAsia" w:hAnsiTheme="minorEastAsia" w:eastAsiaTheme="minorEastAsia"/>
          <w:sz w:val="18"/>
          <w:szCs w:val="18"/>
        </w:rPr>
        <w:t>届</w:t>
      </w:r>
      <w:r>
        <w:rPr>
          <w:rFonts w:asciiTheme="minorEastAsia" w:hAnsiTheme="minorEastAsia" w:eastAsiaTheme="minorEastAsia"/>
          <w:sz w:val="18"/>
          <w:szCs w:val="18"/>
        </w:rPr>
        <w:t>不同学院不同专业的就业率分布</w:t>
      </w:r>
      <w:bookmarkEnd w:id="40"/>
    </w:p>
    <w:tbl>
      <w:tblPr>
        <w:tblStyle w:val="50"/>
        <w:tblW w:w="8296" w:type="dxa"/>
        <w:tblInd w:w="0" w:type="dxa"/>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
      <w:tblGrid>
        <w:gridCol w:w="2275"/>
        <w:gridCol w:w="1860"/>
        <w:gridCol w:w="1425"/>
        <w:gridCol w:w="1258"/>
        <w:gridCol w:w="1478"/>
      </w:tblGrid>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blHeader/>
        </w:trPr>
        <w:tc>
          <w:tcPr>
            <w:tcW w:w="2275" w:type="dxa"/>
            <w:tcBorders>
              <w:top w:val="single" w:color="ED7D31" w:themeColor="accent2" w:sz="4" w:space="0"/>
              <w:left w:val="single" w:color="ED7D31" w:themeColor="accent2" w:sz="4" w:space="0"/>
              <w:bottom w:val="single" w:color="ED7D31" w:themeColor="accent2" w:sz="4" w:space="0"/>
              <w:right w:val="nil"/>
              <w:insideH w:val="single" w:sz="4" w:space="0"/>
              <w:insideV w:val="nil"/>
            </w:tcBorders>
            <w:shd w:val="clear" w:color="auto" w:fill="ED7D31" w:themeFill="accent2"/>
            <w:vAlign w:val="center"/>
          </w:tcPr>
          <w:p>
            <w:pPr>
              <w:jc w:val="center"/>
              <w:rPr>
                <w:rFonts w:asciiTheme="minorEastAsia" w:hAnsiTheme="minorEastAsia"/>
                <w:b/>
                <w:bCs/>
                <w:color w:val="FFFFFF" w:themeColor="background1"/>
                <w:sz w:val="18"/>
                <w:szCs w:val="18"/>
                <w14:textFill>
                  <w14:solidFill>
                    <w14:schemeClr w14:val="bg1"/>
                  </w14:solidFill>
                </w14:textFill>
              </w:rPr>
            </w:pPr>
            <w:r>
              <w:rPr>
                <w:rFonts w:hint="eastAsia" w:asciiTheme="minorEastAsia" w:hAnsiTheme="minorEastAsia"/>
                <w:b/>
                <w:bCs/>
                <w:color w:val="FFFFFF" w:themeColor="background1"/>
                <w:sz w:val="18"/>
                <w:szCs w:val="18"/>
                <w14:textFill>
                  <w14:solidFill>
                    <w14:schemeClr w14:val="bg1"/>
                  </w14:solidFill>
                </w14:textFill>
              </w:rPr>
              <w:t>学院</w:t>
            </w:r>
          </w:p>
        </w:tc>
        <w:tc>
          <w:tcPr>
            <w:tcW w:w="1860" w:type="dxa"/>
            <w:tcBorders>
              <w:top w:val="single" w:color="ED7D31" w:themeColor="accent2" w:sz="4" w:space="0"/>
              <w:bottom w:val="single" w:color="ED7D31" w:themeColor="accent2" w:sz="4" w:space="0"/>
              <w:right w:val="nil"/>
              <w:insideH w:val="single" w:sz="4" w:space="0"/>
              <w:insideV w:val="nil"/>
            </w:tcBorders>
            <w:shd w:val="clear" w:color="auto" w:fill="ED7D31" w:themeFill="accent2"/>
            <w:vAlign w:val="center"/>
          </w:tcPr>
          <w:p>
            <w:pPr>
              <w:jc w:val="center"/>
              <w:rPr>
                <w:rFonts w:asciiTheme="minorEastAsia" w:hAnsiTheme="minorEastAsia"/>
                <w:b/>
                <w:bCs/>
                <w:color w:val="FFFFFF" w:themeColor="background1"/>
                <w:sz w:val="18"/>
                <w:szCs w:val="18"/>
                <w14:textFill>
                  <w14:solidFill>
                    <w14:schemeClr w14:val="bg1"/>
                  </w14:solidFill>
                </w14:textFill>
              </w:rPr>
            </w:pPr>
            <w:r>
              <w:rPr>
                <w:rFonts w:hint="eastAsia" w:asciiTheme="minorEastAsia" w:hAnsiTheme="minorEastAsia"/>
                <w:b/>
                <w:bCs/>
                <w:color w:val="FFFFFF" w:themeColor="background1"/>
                <w:sz w:val="18"/>
                <w:szCs w:val="18"/>
                <w14:textFill>
                  <w14:solidFill>
                    <w14:schemeClr w14:val="bg1"/>
                  </w14:solidFill>
                </w14:textFill>
              </w:rPr>
              <w:t>专业</w:t>
            </w:r>
          </w:p>
        </w:tc>
        <w:tc>
          <w:tcPr>
            <w:tcW w:w="1425" w:type="dxa"/>
            <w:tcBorders>
              <w:top w:val="single" w:color="ED7D31" w:themeColor="accent2" w:sz="4" w:space="0"/>
              <w:bottom w:val="single" w:color="ED7D31" w:themeColor="accent2" w:sz="4" w:space="0"/>
              <w:right w:val="nil"/>
              <w:insideH w:val="single" w:sz="4" w:space="0"/>
              <w:insideV w:val="nil"/>
            </w:tcBorders>
            <w:shd w:val="clear" w:color="auto" w:fill="ED7D31" w:themeFill="accent2"/>
            <w:vAlign w:val="center"/>
          </w:tcPr>
          <w:p>
            <w:pPr>
              <w:jc w:val="center"/>
              <w:rPr>
                <w:rFonts w:asciiTheme="minorEastAsia" w:hAnsiTheme="minorEastAsia"/>
                <w:b/>
                <w:bCs/>
                <w:color w:val="FFFFFF" w:themeColor="background1"/>
                <w:sz w:val="18"/>
                <w:szCs w:val="18"/>
                <w14:textFill>
                  <w14:solidFill>
                    <w14:schemeClr w14:val="bg1"/>
                  </w14:solidFill>
                </w14:textFill>
              </w:rPr>
            </w:pPr>
            <w:r>
              <w:rPr>
                <w:rFonts w:hint="eastAsia" w:asciiTheme="minorEastAsia" w:hAnsiTheme="minorEastAsia"/>
                <w:b/>
                <w:bCs/>
                <w:color w:val="FFFFFF" w:themeColor="background1"/>
                <w:sz w:val="18"/>
                <w:szCs w:val="18"/>
                <w14:textFill>
                  <w14:solidFill>
                    <w14:schemeClr w14:val="bg1"/>
                  </w14:solidFill>
                </w14:textFill>
              </w:rPr>
              <w:t>毕业生人数</w:t>
            </w:r>
          </w:p>
        </w:tc>
        <w:tc>
          <w:tcPr>
            <w:tcW w:w="1258" w:type="dxa"/>
            <w:tcBorders>
              <w:top w:val="single" w:color="ED7D31" w:themeColor="accent2" w:sz="4" w:space="0"/>
              <w:bottom w:val="single" w:color="ED7D31" w:themeColor="accent2" w:sz="4" w:space="0"/>
              <w:right w:val="nil"/>
              <w:insideH w:val="single" w:sz="4" w:space="0"/>
              <w:insideV w:val="nil"/>
            </w:tcBorders>
            <w:shd w:val="clear" w:color="auto" w:fill="ED7D31" w:themeFill="accent2"/>
            <w:vAlign w:val="center"/>
          </w:tcPr>
          <w:p>
            <w:pPr>
              <w:jc w:val="center"/>
              <w:rPr>
                <w:rFonts w:asciiTheme="minorEastAsia" w:hAnsiTheme="minorEastAsia"/>
                <w:b/>
                <w:bCs/>
                <w:color w:val="FFFFFF" w:themeColor="background1"/>
                <w:sz w:val="18"/>
                <w:szCs w:val="18"/>
                <w14:textFill>
                  <w14:solidFill>
                    <w14:schemeClr w14:val="bg1"/>
                  </w14:solidFill>
                </w14:textFill>
              </w:rPr>
            </w:pPr>
            <w:r>
              <w:rPr>
                <w:rFonts w:hint="eastAsia" w:asciiTheme="minorEastAsia" w:hAnsiTheme="minorEastAsia"/>
                <w:b/>
                <w:bCs/>
                <w:color w:val="FFFFFF" w:themeColor="background1"/>
                <w:sz w:val="18"/>
                <w:szCs w:val="18"/>
                <w14:textFill>
                  <w14:solidFill>
                    <w14:schemeClr w14:val="bg1"/>
                  </w14:solidFill>
                </w14:textFill>
              </w:rPr>
              <w:t>已就业人数</w:t>
            </w:r>
          </w:p>
        </w:tc>
        <w:tc>
          <w:tcPr>
            <w:tcW w:w="1478" w:type="dxa"/>
            <w:tcBorders>
              <w:top w:val="single" w:color="ED7D31" w:themeColor="accent2" w:sz="4" w:space="0"/>
              <w:bottom w:val="single" w:color="ED7D31" w:themeColor="accent2" w:sz="4" w:space="0"/>
              <w:right w:val="single" w:color="ED7D31" w:themeColor="accent2" w:sz="4" w:space="0"/>
              <w:insideH w:val="single" w:sz="4" w:space="0"/>
              <w:insideV w:val="nil"/>
            </w:tcBorders>
            <w:shd w:val="clear" w:color="auto" w:fill="ED7D31" w:themeFill="accent2"/>
            <w:vAlign w:val="center"/>
          </w:tcPr>
          <w:p>
            <w:pPr>
              <w:jc w:val="center"/>
              <w:rPr>
                <w:rFonts w:asciiTheme="minorEastAsia" w:hAnsiTheme="minorEastAsia"/>
                <w:b/>
                <w:bCs/>
                <w:color w:val="FFFFFF" w:themeColor="background1"/>
                <w:sz w:val="18"/>
                <w:szCs w:val="18"/>
                <w14:textFill>
                  <w14:solidFill>
                    <w14:schemeClr w14:val="bg1"/>
                  </w14:solidFill>
                </w14:textFill>
              </w:rPr>
            </w:pPr>
            <w:r>
              <w:rPr>
                <w:rFonts w:hint="eastAsia" w:asciiTheme="minorEastAsia" w:hAnsiTheme="minorEastAsia"/>
                <w:b/>
                <w:bCs/>
                <w:color w:val="FFFFFF" w:themeColor="background1"/>
                <w:sz w:val="18"/>
                <w:szCs w:val="18"/>
                <w14:textFill>
                  <w14:solidFill>
                    <w14:schemeClr w14:val="bg1"/>
                  </w14:solidFill>
                </w14:textFill>
              </w:rPr>
              <w:t>就业率（%</w:t>
            </w:r>
            <w:r>
              <w:rPr>
                <w:rFonts w:asciiTheme="minorEastAsia" w:hAnsiTheme="minorEastAsia"/>
                <w:b/>
                <w:bCs/>
                <w:color w:val="FFFFFF" w:themeColor="background1"/>
                <w:sz w:val="18"/>
                <w:szCs w:val="18"/>
                <w14:textFill>
                  <w14:solidFill>
                    <w14:schemeClr w14:val="bg1"/>
                  </w14:solidFill>
                </w14:textFill>
              </w:rPr>
              <w:t>）</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restart"/>
            <w:shd w:val="clear" w:color="auto" w:fill="FBE4D5" w:themeFill="accent2" w:themeFillTint="33"/>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财政金融学院</w:t>
            </w:r>
          </w:p>
        </w:tc>
        <w:tc>
          <w:tcPr>
            <w:tcW w:w="1860"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保险</w:t>
            </w:r>
          </w:p>
        </w:tc>
        <w:tc>
          <w:tcPr>
            <w:tcW w:w="1425"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28</w:t>
            </w:r>
          </w:p>
        </w:tc>
        <w:tc>
          <w:tcPr>
            <w:tcW w:w="125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28</w:t>
            </w:r>
          </w:p>
        </w:tc>
        <w:tc>
          <w:tcPr>
            <w:tcW w:w="147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100.00</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continue"/>
            <w:shd w:val="clear" w:color="auto" w:fill="FBE4D5" w:themeFill="accent2" w:themeFillTint="33"/>
            <w:vAlign w:val="center"/>
          </w:tcPr>
          <w:p>
            <w:pPr>
              <w:jc w:val="center"/>
              <w:rPr>
                <w:rFonts w:asciiTheme="minorEastAsia" w:hAnsiTheme="minorEastAsia"/>
                <w:b w:val="0"/>
                <w:bCs/>
                <w:sz w:val="18"/>
                <w:szCs w:val="18"/>
              </w:rPr>
            </w:pPr>
          </w:p>
        </w:tc>
        <w:tc>
          <w:tcPr>
            <w:tcW w:w="1860" w:type="dxa"/>
            <w:vAlign w:val="center"/>
          </w:tcPr>
          <w:p>
            <w:pPr>
              <w:jc w:val="center"/>
              <w:rPr>
                <w:rFonts w:asciiTheme="minorEastAsia" w:hAnsiTheme="minorEastAsia"/>
                <w:sz w:val="18"/>
                <w:szCs w:val="18"/>
              </w:rPr>
            </w:pPr>
            <w:r>
              <w:rPr>
                <w:rFonts w:hint="eastAsia" w:asciiTheme="minorEastAsia" w:hAnsiTheme="minorEastAsia"/>
                <w:sz w:val="18"/>
                <w:szCs w:val="18"/>
              </w:rPr>
              <w:t>财政学</w:t>
            </w:r>
          </w:p>
        </w:tc>
        <w:tc>
          <w:tcPr>
            <w:tcW w:w="1425" w:type="dxa"/>
            <w:vAlign w:val="center"/>
          </w:tcPr>
          <w:p>
            <w:pPr>
              <w:jc w:val="center"/>
              <w:rPr>
                <w:rFonts w:asciiTheme="minorEastAsia" w:hAnsiTheme="minorEastAsia"/>
                <w:sz w:val="18"/>
                <w:szCs w:val="18"/>
              </w:rPr>
            </w:pPr>
            <w:r>
              <w:rPr>
                <w:rFonts w:hint="eastAsia" w:asciiTheme="minorEastAsia" w:hAnsiTheme="minorEastAsia"/>
                <w:sz w:val="18"/>
                <w:szCs w:val="18"/>
              </w:rPr>
              <w:t>42</w:t>
            </w:r>
          </w:p>
        </w:tc>
        <w:tc>
          <w:tcPr>
            <w:tcW w:w="1258" w:type="dxa"/>
            <w:vAlign w:val="center"/>
          </w:tcPr>
          <w:p>
            <w:pPr>
              <w:jc w:val="center"/>
              <w:rPr>
                <w:rFonts w:asciiTheme="minorEastAsia" w:hAnsiTheme="minorEastAsia"/>
                <w:sz w:val="18"/>
                <w:szCs w:val="18"/>
              </w:rPr>
            </w:pPr>
            <w:r>
              <w:rPr>
                <w:rFonts w:hint="eastAsia" w:asciiTheme="minorEastAsia" w:hAnsiTheme="minorEastAsia"/>
                <w:sz w:val="18"/>
                <w:szCs w:val="18"/>
              </w:rPr>
              <w:t>39</w:t>
            </w:r>
          </w:p>
        </w:tc>
        <w:tc>
          <w:tcPr>
            <w:tcW w:w="1478" w:type="dxa"/>
            <w:vAlign w:val="center"/>
          </w:tcPr>
          <w:p>
            <w:pPr>
              <w:jc w:val="center"/>
              <w:rPr>
                <w:rFonts w:asciiTheme="minorEastAsia" w:hAnsiTheme="minorEastAsia"/>
                <w:sz w:val="18"/>
                <w:szCs w:val="18"/>
              </w:rPr>
            </w:pPr>
            <w:r>
              <w:rPr>
                <w:rFonts w:hint="eastAsia" w:asciiTheme="minorEastAsia" w:hAnsiTheme="minorEastAsia"/>
                <w:sz w:val="18"/>
                <w:szCs w:val="18"/>
              </w:rPr>
              <w:t>92.86</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continue"/>
            <w:shd w:val="clear" w:color="auto" w:fill="FBE4D5" w:themeFill="accent2" w:themeFillTint="33"/>
            <w:vAlign w:val="center"/>
          </w:tcPr>
          <w:p>
            <w:pPr>
              <w:jc w:val="center"/>
              <w:rPr>
                <w:rFonts w:asciiTheme="minorEastAsia" w:hAnsiTheme="minorEastAsia"/>
                <w:b w:val="0"/>
                <w:bCs/>
                <w:sz w:val="18"/>
                <w:szCs w:val="18"/>
              </w:rPr>
            </w:pPr>
          </w:p>
        </w:tc>
        <w:tc>
          <w:tcPr>
            <w:tcW w:w="1860"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金融学</w:t>
            </w:r>
          </w:p>
        </w:tc>
        <w:tc>
          <w:tcPr>
            <w:tcW w:w="1425"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333</w:t>
            </w:r>
          </w:p>
        </w:tc>
        <w:tc>
          <w:tcPr>
            <w:tcW w:w="125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310</w:t>
            </w:r>
          </w:p>
        </w:tc>
        <w:tc>
          <w:tcPr>
            <w:tcW w:w="147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93.09</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continue"/>
            <w:shd w:val="clear" w:color="auto" w:fill="FBE4D5" w:themeFill="accent2" w:themeFillTint="33"/>
            <w:vAlign w:val="center"/>
          </w:tcPr>
          <w:p>
            <w:pPr>
              <w:jc w:val="center"/>
              <w:rPr>
                <w:rFonts w:asciiTheme="minorEastAsia" w:hAnsiTheme="minorEastAsia"/>
                <w:b w:val="0"/>
                <w:bCs/>
                <w:sz w:val="18"/>
                <w:szCs w:val="18"/>
              </w:rPr>
            </w:pPr>
          </w:p>
        </w:tc>
        <w:tc>
          <w:tcPr>
            <w:tcW w:w="1860" w:type="dxa"/>
            <w:vAlign w:val="center"/>
          </w:tcPr>
          <w:p>
            <w:pPr>
              <w:jc w:val="center"/>
              <w:rPr>
                <w:rFonts w:asciiTheme="minorEastAsia" w:hAnsiTheme="minorEastAsia"/>
                <w:b/>
                <w:sz w:val="18"/>
                <w:szCs w:val="18"/>
              </w:rPr>
            </w:pPr>
            <w:r>
              <w:rPr>
                <w:rFonts w:hint="eastAsia" w:asciiTheme="minorEastAsia" w:hAnsiTheme="minorEastAsia"/>
                <w:b/>
                <w:sz w:val="18"/>
                <w:szCs w:val="18"/>
              </w:rPr>
              <w:t>总计</w:t>
            </w:r>
          </w:p>
        </w:tc>
        <w:tc>
          <w:tcPr>
            <w:tcW w:w="1425" w:type="dxa"/>
            <w:vAlign w:val="center"/>
          </w:tcPr>
          <w:p>
            <w:pPr>
              <w:jc w:val="center"/>
              <w:rPr>
                <w:rFonts w:asciiTheme="minorEastAsia" w:hAnsiTheme="minorEastAsia"/>
                <w:b/>
                <w:sz w:val="18"/>
                <w:szCs w:val="18"/>
              </w:rPr>
            </w:pPr>
            <w:r>
              <w:rPr>
                <w:rFonts w:hint="eastAsia" w:asciiTheme="minorEastAsia" w:hAnsiTheme="minorEastAsia"/>
                <w:b/>
                <w:sz w:val="18"/>
                <w:szCs w:val="18"/>
              </w:rPr>
              <w:t>403</w:t>
            </w:r>
          </w:p>
        </w:tc>
        <w:tc>
          <w:tcPr>
            <w:tcW w:w="1258" w:type="dxa"/>
            <w:vAlign w:val="center"/>
          </w:tcPr>
          <w:p>
            <w:pPr>
              <w:jc w:val="center"/>
              <w:rPr>
                <w:rFonts w:asciiTheme="minorEastAsia" w:hAnsiTheme="minorEastAsia"/>
                <w:b/>
                <w:sz w:val="18"/>
                <w:szCs w:val="18"/>
              </w:rPr>
            </w:pPr>
            <w:r>
              <w:rPr>
                <w:rFonts w:hint="eastAsia" w:asciiTheme="minorEastAsia" w:hAnsiTheme="minorEastAsia"/>
                <w:b/>
                <w:sz w:val="18"/>
                <w:szCs w:val="18"/>
              </w:rPr>
              <w:t>377</w:t>
            </w:r>
          </w:p>
        </w:tc>
        <w:tc>
          <w:tcPr>
            <w:tcW w:w="1478" w:type="dxa"/>
            <w:vAlign w:val="center"/>
          </w:tcPr>
          <w:p>
            <w:pPr>
              <w:jc w:val="center"/>
              <w:rPr>
                <w:rFonts w:asciiTheme="minorEastAsia" w:hAnsiTheme="minorEastAsia"/>
                <w:b/>
                <w:sz w:val="18"/>
                <w:szCs w:val="18"/>
              </w:rPr>
            </w:pPr>
            <w:r>
              <w:rPr>
                <w:rFonts w:hint="eastAsia" w:asciiTheme="minorEastAsia" w:hAnsiTheme="minorEastAsia"/>
                <w:b/>
                <w:sz w:val="18"/>
                <w:szCs w:val="18"/>
              </w:rPr>
              <w:t>93.55</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shd w:val="clear" w:color="auto" w:fill="FBE4D5" w:themeFill="accent2" w:themeFillTint="33"/>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法学院</w:t>
            </w:r>
          </w:p>
        </w:tc>
        <w:tc>
          <w:tcPr>
            <w:tcW w:w="1860"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法学</w:t>
            </w:r>
          </w:p>
        </w:tc>
        <w:tc>
          <w:tcPr>
            <w:tcW w:w="1425"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80</w:t>
            </w:r>
          </w:p>
        </w:tc>
        <w:tc>
          <w:tcPr>
            <w:tcW w:w="125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78</w:t>
            </w:r>
          </w:p>
        </w:tc>
        <w:tc>
          <w:tcPr>
            <w:tcW w:w="147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97.50</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restart"/>
            <w:shd w:val="clear" w:color="auto" w:fill="FBE4D5" w:themeFill="accent2" w:themeFillTint="33"/>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工商管理学院</w:t>
            </w:r>
          </w:p>
        </w:tc>
        <w:tc>
          <w:tcPr>
            <w:tcW w:w="1860" w:type="dxa"/>
            <w:vAlign w:val="center"/>
          </w:tcPr>
          <w:p>
            <w:pPr>
              <w:jc w:val="center"/>
              <w:rPr>
                <w:rFonts w:asciiTheme="minorEastAsia" w:hAnsiTheme="minorEastAsia"/>
                <w:sz w:val="18"/>
                <w:szCs w:val="18"/>
              </w:rPr>
            </w:pPr>
            <w:r>
              <w:rPr>
                <w:rFonts w:hint="eastAsia" w:asciiTheme="minorEastAsia" w:hAnsiTheme="minorEastAsia"/>
                <w:sz w:val="18"/>
                <w:szCs w:val="18"/>
              </w:rPr>
              <w:t>工商管理</w:t>
            </w:r>
          </w:p>
        </w:tc>
        <w:tc>
          <w:tcPr>
            <w:tcW w:w="1425" w:type="dxa"/>
            <w:vAlign w:val="center"/>
          </w:tcPr>
          <w:p>
            <w:pPr>
              <w:jc w:val="center"/>
              <w:rPr>
                <w:rFonts w:asciiTheme="minorEastAsia" w:hAnsiTheme="minorEastAsia"/>
                <w:sz w:val="18"/>
                <w:szCs w:val="18"/>
              </w:rPr>
            </w:pPr>
            <w:r>
              <w:rPr>
                <w:rFonts w:hint="eastAsia" w:asciiTheme="minorEastAsia" w:hAnsiTheme="minorEastAsia"/>
                <w:sz w:val="18"/>
                <w:szCs w:val="18"/>
              </w:rPr>
              <w:t>97</w:t>
            </w:r>
          </w:p>
        </w:tc>
        <w:tc>
          <w:tcPr>
            <w:tcW w:w="1258" w:type="dxa"/>
            <w:vAlign w:val="center"/>
          </w:tcPr>
          <w:p>
            <w:pPr>
              <w:jc w:val="center"/>
              <w:rPr>
                <w:rFonts w:asciiTheme="minorEastAsia" w:hAnsiTheme="minorEastAsia"/>
                <w:sz w:val="18"/>
                <w:szCs w:val="18"/>
              </w:rPr>
            </w:pPr>
            <w:r>
              <w:rPr>
                <w:rFonts w:hint="eastAsia" w:asciiTheme="minorEastAsia" w:hAnsiTheme="minorEastAsia"/>
                <w:sz w:val="18"/>
                <w:szCs w:val="18"/>
              </w:rPr>
              <w:t>94</w:t>
            </w:r>
          </w:p>
        </w:tc>
        <w:tc>
          <w:tcPr>
            <w:tcW w:w="1478" w:type="dxa"/>
            <w:vAlign w:val="center"/>
          </w:tcPr>
          <w:p>
            <w:pPr>
              <w:jc w:val="center"/>
              <w:rPr>
                <w:rFonts w:asciiTheme="minorEastAsia" w:hAnsiTheme="minorEastAsia"/>
                <w:sz w:val="18"/>
                <w:szCs w:val="18"/>
              </w:rPr>
            </w:pPr>
            <w:r>
              <w:rPr>
                <w:rFonts w:hint="eastAsia" w:asciiTheme="minorEastAsia" w:hAnsiTheme="minorEastAsia"/>
                <w:sz w:val="18"/>
                <w:szCs w:val="18"/>
              </w:rPr>
              <w:t>96.91</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continue"/>
            <w:shd w:val="clear" w:color="auto" w:fill="FBE4D5" w:themeFill="accent2" w:themeFillTint="33"/>
            <w:vAlign w:val="center"/>
          </w:tcPr>
          <w:p>
            <w:pPr>
              <w:jc w:val="center"/>
              <w:rPr>
                <w:rFonts w:asciiTheme="minorEastAsia" w:hAnsiTheme="minorEastAsia"/>
                <w:b w:val="0"/>
                <w:bCs/>
                <w:sz w:val="18"/>
                <w:szCs w:val="18"/>
              </w:rPr>
            </w:pPr>
          </w:p>
        </w:tc>
        <w:tc>
          <w:tcPr>
            <w:tcW w:w="1860"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人力资源管理</w:t>
            </w:r>
          </w:p>
        </w:tc>
        <w:tc>
          <w:tcPr>
            <w:tcW w:w="1425"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69</w:t>
            </w:r>
          </w:p>
        </w:tc>
        <w:tc>
          <w:tcPr>
            <w:tcW w:w="125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67</w:t>
            </w:r>
          </w:p>
        </w:tc>
        <w:tc>
          <w:tcPr>
            <w:tcW w:w="147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97.10</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continue"/>
            <w:shd w:val="clear" w:color="auto" w:fill="FBE4D5" w:themeFill="accent2" w:themeFillTint="33"/>
            <w:vAlign w:val="center"/>
          </w:tcPr>
          <w:p>
            <w:pPr>
              <w:jc w:val="center"/>
              <w:rPr>
                <w:rFonts w:asciiTheme="minorEastAsia" w:hAnsiTheme="minorEastAsia"/>
                <w:b w:val="0"/>
                <w:bCs/>
                <w:sz w:val="18"/>
                <w:szCs w:val="18"/>
              </w:rPr>
            </w:pPr>
          </w:p>
        </w:tc>
        <w:tc>
          <w:tcPr>
            <w:tcW w:w="1860" w:type="dxa"/>
            <w:vAlign w:val="center"/>
          </w:tcPr>
          <w:p>
            <w:pPr>
              <w:jc w:val="center"/>
              <w:rPr>
                <w:rFonts w:asciiTheme="minorEastAsia" w:hAnsiTheme="minorEastAsia"/>
                <w:sz w:val="18"/>
                <w:szCs w:val="18"/>
              </w:rPr>
            </w:pPr>
            <w:r>
              <w:rPr>
                <w:rFonts w:hint="eastAsia" w:asciiTheme="minorEastAsia" w:hAnsiTheme="minorEastAsia"/>
                <w:sz w:val="18"/>
                <w:szCs w:val="18"/>
              </w:rPr>
              <w:t>市场营销</w:t>
            </w:r>
          </w:p>
        </w:tc>
        <w:tc>
          <w:tcPr>
            <w:tcW w:w="1425" w:type="dxa"/>
            <w:vAlign w:val="center"/>
          </w:tcPr>
          <w:p>
            <w:pPr>
              <w:widowControl/>
              <w:jc w:val="center"/>
              <w:rPr>
                <w:rFonts w:asciiTheme="minorEastAsia" w:hAnsiTheme="minorEastAsia"/>
                <w:color w:val="000000"/>
                <w:sz w:val="18"/>
                <w:szCs w:val="18"/>
              </w:rPr>
            </w:pPr>
            <w:r>
              <w:rPr>
                <w:rFonts w:hint="eastAsia" w:asciiTheme="minorEastAsia" w:hAnsiTheme="minorEastAsia"/>
                <w:color w:val="000000"/>
                <w:sz w:val="18"/>
                <w:szCs w:val="18"/>
              </w:rPr>
              <w:t>127</w:t>
            </w:r>
          </w:p>
        </w:tc>
        <w:tc>
          <w:tcPr>
            <w:tcW w:w="1258" w:type="dxa"/>
            <w:vAlign w:val="center"/>
          </w:tcPr>
          <w:p>
            <w:pPr>
              <w:jc w:val="center"/>
              <w:rPr>
                <w:rFonts w:asciiTheme="minorEastAsia" w:hAnsiTheme="minorEastAsia"/>
                <w:color w:val="000000"/>
                <w:sz w:val="18"/>
                <w:szCs w:val="18"/>
              </w:rPr>
            </w:pPr>
            <w:r>
              <w:rPr>
                <w:rFonts w:hint="eastAsia" w:asciiTheme="minorEastAsia" w:hAnsiTheme="minorEastAsia"/>
                <w:color w:val="000000"/>
                <w:sz w:val="18"/>
                <w:szCs w:val="18"/>
              </w:rPr>
              <w:t>120</w:t>
            </w:r>
          </w:p>
        </w:tc>
        <w:tc>
          <w:tcPr>
            <w:tcW w:w="1478" w:type="dxa"/>
            <w:vAlign w:val="center"/>
          </w:tcPr>
          <w:p>
            <w:pPr>
              <w:jc w:val="center"/>
              <w:rPr>
                <w:rFonts w:asciiTheme="minorEastAsia" w:hAnsiTheme="minorEastAsia"/>
                <w:color w:val="000000"/>
                <w:sz w:val="18"/>
                <w:szCs w:val="18"/>
              </w:rPr>
            </w:pPr>
            <w:r>
              <w:rPr>
                <w:rFonts w:hint="eastAsia" w:asciiTheme="minorEastAsia" w:hAnsiTheme="minorEastAsia"/>
                <w:color w:val="000000"/>
                <w:sz w:val="18"/>
                <w:szCs w:val="18"/>
              </w:rPr>
              <w:t>94.49</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continue"/>
            <w:shd w:val="clear" w:color="auto" w:fill="FBE4D5" w:themeFill="accent2" w:themeFillTint="33"/>
            <w:vAlign w:val="center"/>
          </w:tcPr>
          <w:p>
            <w:pPr>
              <w:jc w:val="center"/>
              <w:rPr>
                <w:rFonts w:asciiTheme="minorEastAsia" w:hAnsiTheme="minorEastAsia"/>
                <w:b w:val="0"/>
                <w:bCs/>
                <w:sz w:val="18"/>
                <w:szCs w:val="18"/>
              </w:rPr>
            </w:pPr>
          </w:p>
        </w:tc>
        <w:tc>
          <w:tcPr>
            <w:tcW w:w="1860"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物流管理</w:t>
            </w:r>
          </w:p>
        </w:tc>
        <w:tc>
          <w:tcPr>
            <w:tcW w:w="1425" w:type="dxa"/>
            <w:shd w:val="clear" w:color="auto" w:fill="FBE4D5" w:themeFill="accent2" w:themeFillTint="33"/>
            <w:vAlign w:val="center"/>
          </w:tcPr>
          <w:p>
            <w:pPr>
              <w:jc w:val="center"/>
              <w:rPr>
                <w:rFonts w:asciiTheme="minorEastAsia" w:hAnsiTheme="minorEastAsia"/>
                <w:color w:val="000000"/>
                <w:sz w:val="18"/>
                <w:szCs w:val="18"/>
              </w:rPr>
            </w:pPr>
            <w:r>
              <w:rPr>
                <w:rFonts w:hint="eastAsia" w:asciiTheme="minorEastAsia" w:hAnsiTheme="minorEastAsia"/>
                <w:color w:val="000000"/>
                <w:sz w:val="18"/>
                <w:szCs w:val="18"/>
              </w:rPr>
              <w:t>106</w:t>
            </w:r>
          </w:p>
        </w:tc>
        <w:tc>
          <w:tcPr>
            <w:tcW w:w="1258" w:type="dxa"/>
            <w:shd w:val="clear" w:color="auto" w:fill="FBE4D5" w:themeFill="accent2" w:themeFillTint="33"/>
            <w:vAlign w:val="center"/>
          </w:tcPr>
          <w:p>
            <w:pPr>
              <w:jc w:val="center"/>
              <w:rPr>
                <w:rFonts w:asciiTheme="minorEastAsia" w:hAnsiTheme="minorEastAsia"/>
                <w:color w:val="000000"/>
                <w:sz w:val="18"/>
                <w:szCs w:val="18"/>
              </w:rPr>
            </w:pPr>
            <w:r>
              <w:rPr>
                <w:rFonts w:hint="eastAsia" w:asciiTheme="minorEastAsia" w:hAnsiTheme="minorEastAsia"/>
                <w:color w:val="000000"/>
                <w:sz w:val="18"/>
                <w:szCs w:val="18"/>
              </w:rPr>
              <w:t>103</w:t>
            </w:r>
          </w:p>
        </w:tc>
        <w:tc>
          <w:tcPr>
            <w:tcW w:w="1478" w:type="dxa"/>
            <w:shd w:val="clear" w:color="auto" w:fill="FBE4D5" w:themeFill="accent2" w:themeFillTint="33"/>
            <w:vAlign w:val="center"/>
          </w:tcPr>
          <w:p>
            <w:pPr>
              <w:jc w:val="center"/>
              <w:rPr>
                <w:rFonts w:asciiTheme="minorEastAsia" w:hAnsiTheme="minorEastAsia"/>
                <w:color w:val="000000"/>
                <w:sz w:val="18"/>
                <w:szCs w:val="18"/>
              </w:rPr>
            </w:pPr>
            <w:r>
              <w:rPr>
                <w:rFonts w:hint="eastAsia" w:asciiTheme="minorEastAsia" w:hAnsiTheme="minorEastAsia"/>
                <w:color w:val="000000"/>
                <w:sz w:val="18"/>
                <w:szCs w:val="18"/>
              </w:rPr>
              <w:t>97.17</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continue"/>
            <w:shd w:val="clear" w:color="auto" w:fill="FBE4D5" w:themeFill="accent2" w:themeFillTint="33"/>
            <w:vAlign w:val="center"/>
          </w:tcPr>
          <w:p>
            <w:pPr>
              <w:jc w:val="center"/>
              <w:rPr>
                <w:rFonts w:asciiTheme="minorEastAsia" w:hAnsiTheme="minorEastAsia"/>
                <w:b w:val="0"/>
                <w:bCs/>
                <w:sz w:val="18"/>
                <w:szCs w:val="18"/>
              </w:rPr>
            </w:pPr>
          </w:p>
        </w:tc>
        <w:tc>
          <w:tcPr>
            <w:tcW w:w="1860" w:type="dxa"/>
            <w:vAlign w:val="center"/>
          </w:tcPr>
          <w:p>
            <w:pPr>
              <w:jc w:val="center"/>
              <w:rPr>
                <w:rFonts w:asciiTheme="minorEastAsia" w:hAnsiTheme="minorEastAsia"/>
                <w:b/>
                <w:sz w:val="18"/>
                <w:szCs w:val="18"/>
              </w:rPr>
            </w:pPr>
            <w:r>
              <w:rPr>
                <w:rFonts w:hint="eastAsia" w:asciiTheme="minorEastAsia" w:hAnsiTheme="minorEastAsia"/>
                <w:b/>
                <w:sz w:val="18"/>
                <w:szCs w:val="18"/>
              </w:rPr>
              <w:t>总计</w:t>
            </w:r>
          </w:p>
        </w:tc>
        <w:tc>
          <w:tcPr>
            <w:tcW w:w="1425" w:type="dxa"/>
            <w:vAlign w:val="center"/>
          </w:tcPr>
          <w:p>
            <w:pPr>
              <w:jc w:val="center"/>
              <w:rPr>
                <w:rFonts w:asciiTheme="minorEastAsia" w:hAnsiTheme="minorEastAsia"/>
                <w:b/>
                <w:bCs/>
                <w:color w:val="000000"/>
                <w:sz w:val="18"/>
                <w:szCs w:val="18"/>
              </w:rPr>
            </w:pPr>
            <w:r>
              <w:rPr>
                <w:rFonts w:hint="eastAsia" w:asciiTheme="minorEastAsia" w:hAnsiTheme="minorEastAsia"/>
                <w:b/>
                <w:bCs/>
                <w:color w:val="000000"/>
                <w:sz w:val="18"/>
                <w:szCs w:val="18"/>
              </w:rPr>
              <w:t>399</w:t>
            </w:r>
          </w:p>
        </w:tc>
        <w:tc>
          <w:tcPr>
            <w:tcW w:w="1258" w:type="dxa"/>
            <w:vAlign w:val="center"/>
          </w:tcPr>
          <w:p>
            <w:pPr>
              <w:jc w:val="center"/>
              <w:rPr>
                <w:rFonts w:asciiTheme="minorEastAsia" w:hAnsiTheme="minorEastAsia"/>
                <w:b/>
                <w:bCs/>
                <w:color w:val="000000"/>
                <w:sz w:val="18"/>
                <w:szCs w:val="18"/>
              </w:rPr>
            </w:pPr>
            <w:r>
              <w:rPr>
                <w:rFonts w:hint="eastAsia" w:asciiTheme="minorEastAsia" w:hAnsiTheme="minorEastAsia"/>
                <w:b/>
                <w:bCs/>
                <w:color w:val="000000"/>
                <w:sz w:val="18"/>
                <w:szCs w:val="18"/>
              </w:rPr>
              <w:t>384</w:t>
            </w:r>
          </w:p>
        </w:tc>
        <w:tc>
          <w:tcPr>
            <w:tcW w:w="1478" w:type="dxa"/>
            <w:vAlign w:val="center"/>
          </w:tcPr>
          <w:p>
            <w:pPr>
              <w:jc w:val="center"/>
              <w:rPr>
                <w:rFonts w:asciiTheme="minorEastAsia" w:hAnsiTheme="minorEastAsia"/>
                <w:b/>
                <w:bCs/>
                <w:color w:val="000000"/>
                <w:sz w:val="18"/>
                <w:szCs w:val="18"/>
              </w:rPr>
            </w:pPr>
            <w:r>
              <w:rPr>
                <w:rFonts w:hint="eastAsia" w:asciiTheme="minorEastAsia" w:hAnsiTheme="minorEastAsia"/>
                <w:b/>
                <w:bCs/>
                <w:color w:val="000000"/>
                <w:sz w:val="18"/>
                <w:szCs w:val="18"/>
              </w:rPr>
              <w:t>96.24</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restart"/>
            <w:shd w:val="clear" w:color="auto" w:fill="FBE4D5" w:themeFill="accent2" w:themeFillTint="33"/>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公共管理学院</w:t>
            </w:r>
          </w:p>
        </w:tc>
        <w:tc>
          <w:tcPr>
            <w:tcW w:w="1860"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行政管理</w:t>
            </w:r>
          </w:p>
        </w:tc>
        <w:tc>
          <w:tcPr>
            <w:tcW w:w="1425"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43</w:t>
            </w:r>
          </w:p>
        </w:tc>
        <w:tc>
          <w:tcPr>
            <w:tcW w:w="125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40</w:t>
            </w:r>
          </w:p>
        </w:tc>
        <w:tc>
          <w:tcPr>
            <w:tcW w:w="147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93.02</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continue"/>
            <w:shd w:val="clear" w:color="auto" w:fill="FBE4D5" w:themeFill="accent2" w:themeFillTint="33"/>
            <w:vAlign w:val="center"/>
          </w:tcPr>
          <w:p>
            <w:pPr>
              <w:jc w:val="center"/>
              <w:rPr>
                <w:rFonts w:asciiTheme="minorEastAsia" w:hAnsiTheme="minorEastAsia"/>
                <w:b w:val="0"/>
                <w:bCs/>
                <w:sz w:val="18"/>
                <w:szCs w:val="18"/>
              </w:rPr>
            </w:pPr>
          </w:p>
        </w:tc>
        <w:tc>
          <w:tcPr>
            <w:tcW w:w="1860" w:type="dxa"/>
            <w:vAlign w:val="center"/>
          </w:tcPr>
          <w:p>
            <w:pPr>
              <w:jc w:val="center"/>
              <w:rPr>
                <w:rFonts w:asciiTheme="minorEastAsia" w:hAnsiTheme="minorEastAsia"/>
                <w:sz w:val="18"/>
                <w:szCs w:val="18"/>
              </w:rPr>
            </w:pPr>
            <w:r>
              <w:rPr>
                <w:rFonts w:hint="eastAsia" w:asciiTheme="minorEastAsia" w:hAnsiTheme="minorEastAsia"/>
                <w:sz w:val="18"/>
                <w:szCs w:val="18"/>
              </w:rPr>
              <w:t>社会工作</w:t>
            </w:r>
          </w:p>
        </w:tc>
        <w:tc>
          <w:tcPr>
            <w:tcW w:w="1425" w:type="dxa"/>
            <w:vAlign w:val="center"/>
          </w:tcPr>
          <w:p>
            <w:pPr>
              <w:jc w:val="center"/>
              <w:rPr>
                <w:rFonts w:asciiTheme="minorEastAsia" w:hAnsiTheme="minorEastAsia"/>
                <w:sz w:val="18"/>
                <w:szCs w:val="18"/>
              </w:rPr>
            </w:pPr>
            <w:r>
              <w:rPr>
                <w:rFonts w:hint="eastAsia" w:asciiTheme="minorEastAsia" w:hAnsiTheme="minorEastAsia"/>
                <w:sz w:val="18"/>
                <w:szCs w:val="18"/>
              </w:rPr>
              <w:t>23</w:t>
            </w:r>
          </w:p>
        </w:tc>
        <w:tc>
          <w:tcPr>
            <w:tcW w:w="1258" w:type="dxa"/>
            <w:vAlign w:val="center"/>
          </w:tcPr>
          <w:p>
            <w:pPr>
              <w:jc w:val="center"/>
              <w:rPr>
                <w:rFonts w:asciiTheme="minorEastAsia" w:hAnsiTheme="minorEastAsia"/>
                <w:sz w:val="18"/>
                <w:szCs w:val="18"/>
              </w:rPr>
            </w:pPr>
            <w:r>
              <w:rPr>
                <w:rFonts w:hint="eastAsia" w:asciiTheme="minorEastAsia" w:hAnsiTheme="minorEastAsia"/>
                <w:sz w:val="18"/>
                <w:szCs w:val="18"/>
              </w:rPr>
              <w:t>21</w:t>
            </w:r>
          </w:p>
        </w:tc>
        <w:tc>
          <w:tcPr>
            <w:tcW w:w="1478" w:type="dxa"/>
            <w:vAlign w:val="center"/>
          </w:tcPr>
          <w:p>
            <w:pPr>
              <w:jc w:val="center"/>
              <w:rPr>
                <w:rFonts w:asciiTheme="minorEastAsia" w:hAnsiTheme="minorEastAsia"/>
                <w:sz w:val="18"/>
                <w:szCs w:val="18"/>
              </w:rPr>
            </w:pPr>
            <w:r>
              <w:rPr>
                <w:rFonts w:hint="eastAsia" w:asciiTheme="minorEastAsia" w:hAnsiTheme="minorEastAsia"/>
                <w:sz w:val="18"/>
                <w:szCs w:val="18"/>
              </w:rPr>
              <w:t>91.30</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continue"/>
            <w:shd w:val="clear" w:color="auto" w:fill="FBE4D5" w:themeFill="accent2" w:themeFillTint="33"/>
            <w:vAlign w:val="center"/>
          </w:tcPr>
          <w:p>
            <w:pPr>
              <w:jc w:val="center"/>
              <w:rPr>
                <w:rFonts w:asciiTheme="minorEastAsia" w:hAnsiTheme="minorEastAsia"/>
                <w:b w:val="0"/>
                <w:bCs/>
                <w:sz w:val="18"/>
                <w:szCs w:val="18"/>
              </w:rPr>
            </w:pPr>
          </w:p>
        </w:tc>
        <w:tc>
          <w:tcPr>
            <w:tcW w:w="1860" w:type="dxa"/>
            <w:shd w:val="clear" w:color="auto" w:fill="FBE4D5" w:themeFill="accent2" w:themeFillTint="33"/>
            <w:vAlign w:val="center"/>
          </w:tcPr>
          <w:p>
            <w:pPr>
              <w:jc w:val="center"/>
              <w:rPr>
                <w:rFonts w:asciiTheme="minorEastAsia" w:hAnsiTheme="minorEastAsia"/>
                <w:b/>
                <w:sz w:val="18"/>
                <w:szCs w:val="18"/>
              </w:rPr>
            </w:pPr>
            <w:r>
              <w:rPr>
                <w:rFonts w:hint="eastAsia" w:asciiTheme="minorEastAsia" w:hAnsiTheme="minorEastAsia"/>
                <w:b/>
                <w:sz w:val="18"/>
                <w:szCs w:val="18"/>
              </w:rPr>
              <w:t>总计</w:t>
            </w:r>
          </w:p>
        </w:tc>
        <w:tc>
          <w:tcPr>
            <w:tcW w:w="1425" w:type="dxa"/>
            <w:shd w:val="clear" w:color="auto" w:fill="FBE4D5" w:themeFill="accent2" w:themeFillTint="33"/>
            <w:vAlign w:val="center"/>
          </w:tcPr>
          <w:p>
            <w:pPr>
              <w:jc w:val="center"/>
              <w:rPr>
                <w:rFonts w:asciiTheme="minorEastAsia" w:hAnsiTheme="minorEastAsia"/>
                <w:b/>
                <w:sz w:val="18"/>
                <w:szCs w:val="18"/>
              </w:rPr>
            </w:pPr>
            <w:r>
              <w:rPr>
                <w:rFonts w:hint="eastAsia" w:asciiTheme="minorEastAsia" w:hAnsiTheme="minorEastAsia"/>
                <w:b/>
                <w:sz w:val="18"/>
                <w:szCs w:val="18"/>
              </w:rPr>
              <w:t>66</w:t>
            </w:r>
          </w:p>
        </w:tc>
        <w:tc>
          <w:tcPr>
            <w:tcW w:w="1258" w:type="dxa"/>
            <w:shd w:val="clear" w:color="auto" w:fill="FBE4D5" w:themeFill="accent2" w:themeFillTint="33"/>
            <w:vAlign w:val="center"/>
          </w:tcPr>
          <w:p>
            <w:pPr>
              <w:jc w:val="center"/>
              <w:rPr>
                <w:rFonts w:asciiTheme="minorEastAsia" w:hAnsiTheme="minorEastAsia"/>
                <w:b/>
                <w:sz w:val="18"/>
                <w:szCs w:val="18"/>
              </w:rPr>
            </w:pPr>
            <w:r>
              <w:rPr>
                <w:rFonts w:hint="eastAsia" w:asciiTheme="minorEastAsia" w:hAnsiTheme="minorEastAsia"/>
                <w:b/>
                <w:sz w:val="18"/>
                <w:szCs w:val="18"/>
              </w:rPr>
              <w:t>61</w:t>
            </w:r>
          </w:p>
        </w:tc>
        <w:tc>
          <w:tcPr>
            <w:tcW w:w="1478" w:type="dxa"/>
            <w:shd w:val="clear" w:color="auto" w:fill="FBE4D5" w:themeFill="accent2" w:themeFillTint="33"/>
            <w:vAlign w:val="center"/>
          </w:tcPr>
          <w:p>
            <w:pPr>
              <w:jc w:val="center"/>
              <w:rPr>
                <w:rFonts w:asciiTheme="minorEastAsia" w:hAnsiTheme="minorEastAsia"/>
                <w:b/>
                <w:sz w:val="18"/>
                <w:szCs w:val="18"/>
              </w:rPr>
            </w:pPr>
            <w:r>
              <w:rPr>
                <w:rFonts w:hint="eastAsia" w:asciiTheme="minorEastAsia" w:hAnsiTheme="minorEastAsia"/>
                <w:b/>
                <w:sz w:val="18"/>
                <w:szCs w:val="18"/>
              </w:rPr>
              <w:t>92.42</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restart"/>
            <w:shd w:val="clear" w:color="auto" w:fill="FBE4D5" w:themeFill="accent2" w:themeFillTint="33"/>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国际教育学院（专科</w:t>
            </w:r>
            <w:r>
              <w:rPr>
                <w:rFonts w:asciiTheme="minorEastAsia" w:hAnsiTheme="minorEastAsia"/>
                <w:b w:val="0"/>
                <w:bCs/>
                <w:sz w:val="18"/>
                <w:szCs w:val="18"/>
              </w:rPr>
              <w:t>）</w:t>
            </w:r>
          </w:p>
        </w:tc>
        <w:tc>
          <w:tcPr>
            <w:tcW w:w="1860" w:type="dxa"/>
            <w:vAlign w:val="center"/>
          </w:tcPr>
          <w:p>
            <w:pPr>
              <w:jc w:val="center"/>
              <w:rPr>
                <w:rFonts w:asciiTheme="minorEastAsia" w:hAnsiTheme="minorEastAsia"/>
                <w:sz w:val="18"/>
                <w:szCs w:val="18"/>
              </w:rPr>
            </w:pPr>
            <w:r>
              <w:rPr>
                <w:rFonts w:hint="eastAsia" w:asciiTheme="minorEastAsia" w:hAnsiTheme="minorEastAsia"/>
                <w:sz w:val="18"/>
                <w:szCs w:val="18"/>
              </w:rPr>
              <w:t>会计</w:t>
            </w:r>
          </w:p>
        </w:tc>
        <w:tc>
          <w:tcPr>
            <w:tcW w:w="1425" w:type="dxa"/>
            <w:vAlign w:val="center"/>
          </w:tcPr>
          <w:p>
            <w:pPr>
              <w:jc w:val="center"/>
              <w:rPr>
                <w:rFonts w:asciiTheme="minorEastAsia" w:hAnsiTheme="minorEastAsia"/>
                <w:sz w:val="18"/>
                <w:szCs w:val="18"/>
              </w:rPr>
            </w:pPr>
            <w:r>
              <w:rPr>
                <w:rFonts w:hint="eastAsia" w:asciiTheme="minorEastAsia" w:hAnsiTheme="minorEastAsia"/>
                <w:sz w:val="18"/>
                <w:szCs w:val="18"/>
              </w:rPr>
              <w:t>165</w:t>
            </w:r>
          </w:p>
        </w:tc>
        <w:tc>
          <w:tcPr>
            <w:tcW w:w="1258" w:type="dxa"/>
            <w:vAlign w:val="center"/>
          </w:tcPr>
          <w:p>
            <w:pPr>
              <w:jc w:val="center"/>
              <w:rPr>
                <w:rFonts w:asciiTheme="minorEastAsia" w:hAnsiTheme="minorEastAsia"/>
                <w:sz w:val="18"/>
                <w:szCs w:val="18"/>
              </w:rPr>
            </w:pPr>
            <w:r>
              <w:rPr>
                <w:rFonts w:hint="eastAsia" w:asciiTheme="minorEastAsia" w:hAnsiTheme="minorEastAsia"/>
                <w:sz w:val="18"/>
                <w:szCs w:val="18"/>
              </w:rPr>
              <w:t>155</w:t>
            </w:r>
          </w:p>
        </w:tc>
        <w:tc>
          <w:tcPr>
            <w:tcW w:w="1478" w:type="dxa"/>
            <w:vAlign w:val="center"/>
          </w:tcPr>
          <w:p>
            <w:pPr>
              <w:jc w:val="center"/>
              <w:rPr>
                <w:rFonts w:asciiTheme="minorEastAsia" w:hAnsiTheme="minorEastAsia"/>
                <w:sz w:val="18"/>
                <w:szCs w:val="18"/>
              </w:rPr>
            </w:pPr>
            <w:r>
              <w:rPr>
                <w:rFonts w:hint="eastAsia" w:asciiTheme="minorEastAsia" w:hAnsiTheme="minorEastAsia"/>
                <w:sz w:val="18"/>
                <w:szCs w:val="18"/>
              </w:rPr>
              <w:t>93.94</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continue"/>
            <w:shd w:val="clear" w:color="auto" w:fill="FBE4D5" w:themeFill="accent2" w:themeFillTint="33"/>
            <w:vAlign w:val="center"/>
          </w:tcPr>
          <w:p>
            <w:pPr>
              <w:jc w:val="center"/>
              <w:rPr>
                <w:rFonts w:asciiTheme="minorEastAsia" w:hAnsiTheme="minorEastAsia"/>
                <w:b w:val="0"/>
                <w:bCs/>
                <w:sz w:val="18"/>
                <w:szCs w:val="18"/>
              </w:rPr>
            </w:pPr>
          </w:p>
        </w:tc>
        <w:tc>
          <w:tcPr>
            <w:tcW w:w="1860"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市场营销</w:t>
            </w:r>
          </w:p>
        </w:tc>
        <w:tc>
          <w:tcPr>
            <w:tcW w:w="1425"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29</w:t>
            </w:r>
          </w:p>
        </w:tc>
        <w:tc>
          <w:tcPr>
            <w:tcW w:w="125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27</w:t>
            </w:r>
          </w:p>
        </w:tc>
        <w:tc>
          <w:tcPr>
            <w:tcW w:w="147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93.10</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continue"/>
            <w:shd w:val="clear" w:color="auto" w:fill="FBE4D5" w:themeFill="accent2" w:themeFillTint="33"/>
            <w:vAlign w:val="center"/>
          </w:tcPr>
          <w:p>
            <w:pPr>
              <w:jc w:val="center"/>
              <w:rPr>
                <w:rFonts w:asciiTheme="minorEastAsia" w:hAnsiTheme="minorEastAsia"/>
                <w:b w:val="0"/>
                <w:bCs/>
                <w:sz w:val="18"/>
                <w:szCs w:val="18"/>
              </w:rPr>
            </w:pPr>
          </w:p>
        </w:tc>
        <w:tc>
          <w:tcPr>
            <w:tcW w:w="1860" w:type="dxa"/>
            <w:vAlign w:val="center"/>
          </w:tcPr>
          <w:p>
            <w:pPr>
              <w:jc w:val="center"/>
              <w:rPr>
                <w:rFonts w:asciiTheme="minorEastAsia" w:hAnsiTheme="minorEastAsia"/>
                <w:b/>
                <w:sz w:val="18"/>
                <w:szCs w:val="18"/>
              </w:rPr>
            </w:pPr>
            <w:r>
              <w:rPr>
                <w:rFonts w:hint="eastAsia" w:asciiTheme="minorEastAsia" w:hAnsiTheme="minorEastAsia"/>
                <w:b/>
                <w:sz w:val="18"/>
                <w:szCs w:val="18"/>
              </w:rPr>
              <w:t>总计</w:t>
            </w:r>
          </w:p>
        </w:tc>
        <w:tc>
          <w:tcPr>
            <w:tcW w:w="1425" w:type="dxa"/>
            <w:vAlign w:val="center"/>
          </w:tcPr>
          <w:p>
            <w:pPr>
              <w:jc w:val="center"/>
              <w:rPr>
                <w:rFonts w:asciiTheme="minorEastAsia" w:hAnsiTheme="minorEastAsia"/>
                <w:b/>
                <w:sz w:val="18"/>
                <w:szCs w:val="18"/>
              </w:rPr>
            </w:pPr>
            <w:r>
              <w:rPr>
                <w:rFonts w:hint="eastAsia" w:asciiTheme="minorEastAsia" w:hAnsiTheme="minorEastAsia"/>
                <w:b/>
                <w:sz w:val="18"/>
                <w:szCs w:val="18"/>
              </w:rPr>
              <w:t>194</w:t>
            </w:r>
          </w:p>
        </w:tc>
        <w:tc>
          <w:tcPr>
            <w:tcW w:w="1258" w:type="dxa"/>
            <w:vAlign w:val="center"/>
          </w:tcPr>
          <w:p>
            <w:pPr>
              <w:jc w:val="center"/>
              <w:rPr>
                <w:rFonts w:asciiTheme="minorEastAsia" w:hAnsiTheme="minorEastAsia"/>
                <w:b/>
                <w:sz w:val="18"/>
                <w:szCs w:val="18"/>
              </w:rPr>
            </w:pPr>
            <w:r>
              <w:rPr>
                <w:rFonts w:hint="eastAsia" w:asciiTheme="minorEastAsia" w:hAnsiTheme="minorEastAsia"/>
                <w:b/>
                <w:sz w:val="18"/>
                <w:szCs w:val="18"/>
              </w:rPr>
              <w:t>182</w:t>
            </w:r>
          </w:p>
        </w:tc>
        <w:tc>
          <w:tcPr>
            <w:tcW w:w="1478" w:type="dxa"/>
            <w:vAlign w:val="center"/>
          </w:tcPr>
          <w:p>
            <w:pPr>
              <w:jc w:val="center"/>
              <w:rPr>
                <w:rFonts w:asciiTheme="minorEastAsia" w:hAnsiTheme="minorEastAsia"/>
                <w:b/>
                <w:sz w:val="18"/>
                <w:szCs w:val="18"/>
              </w:rPr>
            </w:pPr>
            <w:r>
              <w:rPr>
                <w:rFonts w:hint="eastAsia" w:asciiTheme="minorEastAsia" w:hAnsiTheme="minorEastAsia"/>
                <w:b/>
                <w:sz w:val="18"/>
                <w:szCs w:val="18"/>
              </w:rPr>
              <w:t>93.81</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restart"/>
            <w:shd w:val="clear" w:color="auto" w:fill="FBE4D5" w:themeFill="accent2" w:themeFillTint="33"/>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会计学院</w:t>
            </w:r>
          </w:p>
        </w:tc>
        <w:tc>
          <w:tcPr>
            <w:tcW w:w="1860"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财务管理</w:t>
            </w:r>
          </w:p>
        </w:tc>
        <w:tc>
          <w:tcPr>
            <w:tcW w:w="1425"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290</w:t>
            </w:r>
          </w:p>
        </w:tc>
        <w:tc>
          <w:tcPr>
            <w:tcW w:w="125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239</w:t>
            </w:r>
          </w:p>
        </w:tc>
        <w:tc>
          <w:tcPr>
            <w:tcW w:w="147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82.41</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continue"/>
            <w:shd w:val="clear" w:color="auto" w:fill="FBE4D5" w:themeFill="accent2" w:themeFillTint="33"/>
            <w:vAlign w:val="center"/>
          </w:tcPr>
          <w:p>
            <w:pPr>
              <w:jc w:val="center"/>
              <w:rPr>
                <w:rFonts w:asciiTheme="minorEastAsia" w:hAnsiTheme="minorEastAsia"/>
                <w:b w:val="0"/>
                <w:bCs/>
                <w:sz w:val="18"/>
                <w:szCs w:val="18"/>
              </w:rPr>
            </w:pPr>
          </w:p>
        </w:tc>
        <w:tc>
          <w:tcPr>
            <w:tcW w:w="1860" w:type="dxa"/>
            <w:vAlign w:val="center"/>
          </w:tcPr>
          <w:p>
            <w:pPr>
              <w:jc w:val="center"/>
              <w:rPr>
                <w:rFonts w:asciiTheme="minorEastAsia" w:hAnsiTheme="minorEastAsia"/>
                <w:sz w:val="18"/>
                <w:szCs w:val="18"/>
              </w:rPr>
            </w:pPr>
            <w:r>
              <w:rPr>
                <w:rFonts w:hint="eastAsia" w:asciiTheme="minorEastAsia" w:hAnsiTheme="minorEastAsia"/>
                <w:sz w:val="18"/>
                <w:szCs w:val="18"/>
              </w:rPr>
              <w:t>会计学</w:t>
            </w:r>
          </w:p>
        </w:tc>
        <w:tc>
          <w:tcPr>
            <w:tcW w:w="1425" w:type="dxa"/>
            <w:vAlign w:val="center"/>
          </w:tcPr>
          <w:p>
            <w:pPr>
              <w:jc w:val="center"/>
              <w:rPr>
                <w:rFonts w:asciiTheme="minorEastAsia" w:hAnsiTheme="minorEastAsia"/>
                <w:sz w:val="18"/>
                <w:szCs w:val="18"/>
              </w:rPr>
            </w:pPr>
            <w:r>
              <w:rPr>
                <w:rFonts w:hint="eastAsia" w:asciiTheme="minorEastAsia" w:hAnsiTheme="minorEastAsia"/>
                <w:sz w:val="18"/>
                <w:szCs w:val="18"/>
              </w:rPr>
              <w:t>509</w:t>
            </w:r>
          </w:p>
        </w:tc>
        <w:tc>
          <w:tcPr>
            <w:tcW w:w="1258" w:type="dxa"/>
            <w:vAlign w:val="center"/>
          </w:tcPr>
          <w:p>
            <w:pPr>
              <w:jc w:val="center"/>
              <w:rPr>
                <w:rFonts w:asciiTheme="minorEastAsia" w:hAnsiTheme="minorEastAsia"/>
                <w:sz w:val="18"/>
                <w:szCs w:val="18"/>
              </w:rPr>
            </w:pPr>
            <w:r>
              <w:rPr>
                <w:rFonts w:hint="eastAsia" w:asciiTheme="minorEastAsia" w:hAnsiTheme="minorEastAsia"/>
                <w:sz w:val="18"/>
                <w:szCs w:val="18"/>
              </w:rPr>
              <w:t>440</w:t>
            </w:r>
          </w:p>
        </w:tc>
        <w:tc>
          <w:tcPr>
            <w:tcW w:w="1478" w:type="dxa"/>
            <w:vAlign w:val="center"/>
          </w:tcPr>
          <w:p>
            <w:pPr>
              <w:jc w:val="center"/>
              <w:rPr>
                <w:rFonts w:asciiTheme="minorEastAsia" w:hAnsiTheme="minorEastAsia"/>
                <w:sz w:val="18"/>
                <w:szCs w:val="18"/>
              </w:rPr>
            </w:pPr>
            <w:r>
              <w:rPr>
                <w:rFonts w:hint="eastAsia" w:asciiTheme="minorEastAsia" w:hAnsiTheme="minorEastAsia"/>
                <w:sz w:val="18"/>
                <w:szCs w:val="18"/>
              </w:rPr>
              <w:t>86.44</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continue"/>
            <w:shd w:val="clear" w:color="auto" w:fill="FBE4D5" w:themeFill="accent2" w:themeFillTint="33"/>
            <w:vAlign w:val="center"/>
          </w:tcPr>
          <w:p>
            <w:pPr>
              <w:jc w:val="center"/>
              <w:rPr>
                <w:rFonts w:asciiTheme="minorEastAsia" w:hAnsiTheme="minorEastAsia"/>
                <w:b w:val="0"/>
                <w:bCs/>
                <w:sz w:val="18"/>
                <w:szCs w:val="18"/>
              </w:rPr>
            </w:pPr>
          </w:p>
        </w:tc>
        <w:tc>
          <w:tcPr>
            <w:tcW w:w="1860"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审计学</w:t>
            </w:r>
          </w:p>
        </w:tc>
        <w:tc>
          <w:tcPr>
            <w:tcW w:w="1425"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47</w:t>
            </w:r>
          </w:p>
        </w:tc>
        <w:tc>
          <w:tcPr>
            <w:tcW w:w="125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38</w:t>
            </w:r>
          </w:p>
        </w:tc>
        <w:tc>
          <w:tcPr>
            <w:tcW w:w="147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80.85</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continue"/>
            <w:shd w:val="clear" w:color="auto" w:fill="FBE4D5" w:themeFill="accent2" w:themeFillTint="33"/>
            <w:vAlign w:val="center"/>
          </w:tcPr>
          <w:p>
            <w:pPr>
              <w:jc w:val="center"/>
              <w:rPr>
                <w:rFonts w:asciiTheme="minorEastAsia" w:hAnsiTheme="minorEastAsia"/>
                <w:b w:val="0"/>
                <w:bCs/>
                <w:sz w:val="18"/>
                <w:szCs w:val="18"/>
              </w:rPr>
            </w:pPr>
          </w:p>
        </w:tc>
        <w:tc>
          <w:tcPr>
            <w:tcW w:w="1860" w:type="dxa"/>
            <w:vAlign w:val="center"/>
          </w:tcPr>
          <w:p>
            <w:pPr>
              <w:jc w:val="center"/>
              <w:rPr>
                <w:rFonts w:asciiTheme="minorEastAsia" w:hAnsiTheme="minorEastAsia"/>
                <w:b/>
                <w:sz w:val="18"/>
                <w:szCs w:val="18"/>
              </w:rPr>
            </w:pPr>
            <w:r>
              <w:rPr>
                <w:rFonts w:hint="eastAsia" w:asciiTheme="minorEastAsia" w:hAnsiTheme="minorEastAsia"/>
                <w:b/>
                <w:sz w:val="18"/>
                <w:szCs w:val="18"/>
              </w:rPr>
              <w:t>总计</w:t>
            </w:r>
          </w:p>
        </w:tc>
        <w:tc>
          <w:tcPr>
            <w:tcW w:w="1425" w:type="dxa"/>
            <w:vAlign w:val="center"/>
          </w:tcPr>
          <w:p>
            <w:pPr>
              <w:jc w:val="center"/>
              <w:rPr>
                <w:rFonts w:asciiTheme="minorEastAsia" w:hAnsiTheme="minorEastAsia"/>
                <w:b/>
                <w:sz w:val="18"/>
                <w:szCs w:val="18"/>
              </w:rPr>
            </w:pPr>
            <w:r>
              <w:rPr>
                <w:rFonts w:hint="eastAsia" w:asciiTheme="minorEastAsia" w:hAnsiTheme="minorEastAsia"/>
                <w:b/>
                <w:sz w:val="18"/>
                <w:szCs w:val="18"/>
              </w:rPr>
              <w:t>846</w:t>
            </w:r>
          </w:p>
        </w:tc>
        <w:tc>
          <w:tcPr>
            <w:tcW w:w="1258" w:type="dxa"/>
            <w:vAlign w:val="center"/>
          </w:tcPr>
          <w:p>
            <w:pPr>
              <w:jc w:val="center"/>
              <w:rPr>
                <w:rFonts w:asciiTheme="minorEastAsia" w:hAnsiTheme="minorEastAsia"/>
                <w:b/>
                <w:sz w:val="18"/>
                <w:szCs w:val="18"/>
              </w:rPr>
            </w:pPr>
            <w:r>
              <w:rPr>
                <w:rFonts w:hint="eastAsia" w:asciiTheme="minorEastAsia" w:hAnsiTheme="minorEastAsia"/>
                <w:b/>
                <w:sz w:val="18"/>
                <w:szCs w:val="18"/>
              </w:rPr>
              <w:t>717</w:t>
            </w:r>
          </w:p>
        </w:tc>
        <w:tc>
          <w:tcPr>
            <w:tcW w:w="1478" w:type="dxa"/>
            <w:vAlign w:val="center"/>
          </w:tcPr>
          <w:p>
            <w:pPr>
              <w:jc w:val="center"/>
              <w:rPr>
                <w:rFonts w:asciiTheme="minorEastAsia" w:hAnsiTheme="minorEastAsia"/>
                <w:b/>
                <w:sz w:val="18"/>
                <w:szCs w:val="18"/>
              </w:rPr>
            </w:pPr>
            <w:r>
              <w:rPr>
                <w:rFonts w:hint="eastAsia" w:asciiTheme="minorEastAsia" w:hAnsiTheme="minorEastAsia"/>
                <w:b/>
                <w:sz w:val="18"/>
                <w:szCs w:val="18"/>
              </w:rPr>
              <w:t>84.75</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restart"/>
            <w:shd w:val="clear" w:color="auto" w:fill="FBE4D5" w:themeFill="accent2" w:themeFillTint="33"/>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计算机与信息工程学院</w:t>
            </w:r>
          </w:p>
        </w:tc>
        <w:tc>
          <w:tcPr>
            <w:tcW w:w="1860"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电子信息工程</w:t>
            </w:r>
          </w:p>
        </w:tc>
        <w:tc>
          <w:tcPr>
            <w:tcW w:w="1425"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128</w:t>
            </w:r>
          </w:p>
        </w:tc>
        <w:tc>
          <w:tcPr>
            <w:tcW w:w="125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125</w:t>
            </w:r>
          </w:p>
        </w:tc>
        <w:tc>
          <w:tcPr>
            <w:tcW w:w="147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97.66</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continue"/>
            <w:shd w:val="clear" w:color="auto" w:fill="FBE4D5" w:themeFill="accent2" w:themeFillTint="33"/>
            <w:vAlign w:val="center"/>
          </w:tcPr>
          <w:p>
            <w:pPr>
              <w:jc w:val="center"/>
              <w:rPr>
                <w:rFonts w:asciiTheme="minorEastAsia" w:hAnsiTheme="minorEastAsia"/>
                <w:b w:val="0"/>
                <w:bCs/>
                <w:sz w:val="18"/>
                <w:szCs w:val="18"/>
              </w:rPr>
            </w:pPr>
          </w:p>
        </w:tc>
        <w:tc>
          <w:tcPr>
            <w:tcW w:w="1860" w:type="dxa"/>
            <w:vAlign w:val="center"/>
          </w:tcPr>
          <w:p>
            <w:pPr>
              <w:jc w:val="center"/>
              <w:rPr>
                <w:rFonts w:asciiTheme="minorEastAsia" w:hAnsiTheme="minorEastAsia"/>
                <w:sz w:val="18"/>
                <w:szCs w:val="18"/>
              </w:rPr>
            </w:pPr>
            <w:r>
              <w:rPr>
                <w:rFonts w:hint="eastAsia" w:asciiTheme="minorEastAsia" w:hAnsiTheme="minorEastAsia"/>
                <w:sz w:val="18"/>
                <w:szCs w:val="18"/>
              </w:rPr>
              <w:t>工程管理</w:t>
            </w:r>
          </w:p>
        </w:tc>
        <w:tc>
          <w:tcPr>
            <w:tcW w:w="1425" w:type="dxa"/>
            <w:vAlign w:val="center"/>
          </w:tcPr>
          <w:p>
            <w:pPr>
              <w:jc w:val="center"/>
              <w:rPr>
                <w:rFonts w:asciiTheme="minorEastAsia" w:hAnsiTheme="minorEastAsia"/>
                <w:sz w:val="18"/>
                <w:szCs w:val="18"/>
              </w:rPr>
            </w:pPr>
            <w:r>
              <w:rPr>
                <w:rFonts w:hint="eastAsia" w:asciiTheme="minorEastAsia" w:hAnsiTheme="minorEastAsia"/>
                <w:sz w:val="18"/>
                <w:szCs w:val="18"/>
              </w:rPr>
              <w:t>40</w:t>
            </w:r>
          </w:p>
        </w:tc>
        <w:tc>
          <w:tcPr>
            <w:tcW w:w="1258" w:type="dxa"/>
            <w:vAlign w:val="center"/>
          </w:tcPr>
          <w:p>
            <w:pPr>
              <w:jc w:val="center"/>
              <w:rPr>
                <w:rFonts w:asciiTheme="minorEastAsia" w:hAnsiTheme="minorEastAsia"/>
                <w:sz w:val="18"/>
                <w:szCs w:val="18"/>
              </w:rPr>
            </w:pPr>
            <w:r>
              <w:rPr>
                <w:rFonts w:hint="eastAsia" w:asciiTheme="minorEastAsia" w:hAnsiTheme="minorEastAsia"/>
                <w:sz w:val="18"/>
                <w:szCs w:val="18"/>
              </w:rPr>
              <w:t>39</w:t>
            </w:r>
          </w:p>
        </w:tc>
        <w:tc>
          <w:tcPr>
            <w:tcW w:w="1478" w:type="dxa"/>
            <w:vAlign w:val="center"/>
          </w:tcPr>
          <w:p>
            <w:pPr>
              <w:jc w:val="center"/>
              <w:rPr>
                <w:rFonts w:asciiTheme="minorEastAsia" w:hAnsiTheme="minorEastAsia"/>
                <w:sz w:val="18"/>
                <w:szCs w:val="18"/>
              </w:rPr>
            </w:pPr>
            <w:r>
              <w:rPr>
                <w:rFonts w:hint="eastAsia" w:asciiTheme="minorEastAsia" w:hAnsiTheme="minorEastAsia"/>
                <w:sz w:val="18"/>
                <w:szCs w:val="18"/>
              </w:rPr>
              <w:t>97.50</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continue"/>
            <w:shd w:val="clear" w:color="auto" w:fill="FBE4D5" w:themeFill="accent2" w:themeFillTint="33"/>
            <w:vAlign w:val="center"/>
          </w:tcPr>
          <w:p>
            <w:pPr>
              <w:jc w:val="center"/>
              <w:rPr>
                <w:rFonts w:asciiTheme="minorEastAsia" w:hAnsiTheme="minorEastAsia"/>
                <w:b w:val="0"/>
                <w:bCs/>
                <w:sz w:val="18"/>
                <w:szCs w:val="18"/>
              </w:rPr>
            </w:pPr>
          </w:p>
        </w:tc>
        <w:tc>
          <w:tcPr>
            <w:tcW w:w="1860"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计算机科学与技术</w:t>
            </w:r>
          </w:p>
        </w:tc>
        <w:tc>
          <w:tcPr>
            <w:tcW w:w="1425"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88</w:t>
            </w:r>
          </w:p>
        </w:tc>
        <w:tc>
          <w:tcPr>
            <w:tcW w:w="125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87</w:t>
            </w:r>
          </w:p>
        </w:tc>
        <w:tc>
          <w:tcPr>
            <w:tcW w:w="147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98.86</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continue"/>
            <w:shd w:val="clear" w:color="auto" w:fill="FBE4D5" w:themeFill="accent2" w:themeFillTint="33"/>
            <w:vAlign w:val="center"/>
          </w:tcPr>
          <w:p>
            <w:pPr>
              <w:jc w:val="center"/>
              <w:rPr>
                <w:rFonts w:asciiTheme="minorEastAsia" w:hAnsiTheme="minorEastAsia"/>
                <w:b w:val="0"/>
                <w:bCs/>
                <w:sz w:val="18"/>
                <w:szCs w:val="18"/>
              </w:rPr>
            </w:pPr>
          </w:p>
        </w:tc>
        <w:tc>
          <w:tcPr>
            <w:tcW w:w="1860" w:type="dxa"/>
            <w:vAlign w:val="center"/>
          </w:tcPr>
          <w:p>
            <w:pPr>
              <w:jc w:val="center"/>
              <w:rPr>
                <w:rFonts w:asciiTheme="minorEastAsia" w:hAnsiTheme="minorEastAsia"/>
                <w:sz w:val="18"/>
                <w:szCs w:val="18"/>
              </w:rPr>
            </w:pPr>
            <w:r>
              <w:rPr>
                <w:rFonts w:hint="eastAsia" w:asciiTheme="minorEastAsia" w:hAnsiTheme="minorEastAsia"/>
                <w:sz w:val="18"/>
                <w:szCs w:val="18"/>
              </w:rPr>
              <w:t>软件工程</w:t>
            </w:r>
          </w:p>
        </w:tc>
        <w:tc>
          <w:tcPr>
            <w:tcW w:w="1425" w:type="dxa"/>
            <w:vAlign w:val="center"/>
          </w:tcPr>
          <w:p>
            <w:pPr>
              <w:jc w:val="center"/>
              <w:rPr>
                <w:rFonts w:asciiTheme="minorEastAsia" w:hAnsiTheme="minorEastAsia"/>
                <w:sz w:val="18"/>
                <w:szCs w:val="18"/>
              </w:rPr>
            </w:pPr>
            <w:r>
              <w:rPr>
                <w:rFonts w:hint="eastAsia" w:asciiTheme="minorEastAsia" w:hAnsiTheme="minorEastAsia"/>
                <w:sz w:val="18"/>
                <w:szCs w:val="18"/>
              </w:rPr>
              <w:t>35</w:t>
            </w:r>
          </w:p>
        </w:tc>
        <w:tc>
          <w:tcPr>
            <w:tcW w:w="1258" w:type="dxa"/>
            <w:vAlign w:val="center"/>
          </w:tcPr>
          <w:p>
            <w:pPr>
              <w:jc w:val="center"/>
              <w:rPr>
                <w:rFonts w:asciiTheme="minorEastAsia" w:hAnsiTheme="minorEastAsia"/>
                <w:sz w:val="18"/>
                <w:szCs w:val="18"/>
              </w:rPr>
            </w:pPr>
            <w:r>
              <w:rPr>
                <w:rFonts w:hint="eastAsia" w:asciiTheme="minorEastAsia" w:hAnsiTheme="minorEastAsia"/>
                <w:sz w:val="18"/>
                <w:szCs w:val="18"/>
              </w:rPr>
              <w:t>34</w:t>
            </w:r>
          </w:p>
        </w:tc>
        <w:tc>
          <w:tcPr>
            <w:tcW w:w="1478" w:type="dxa"/>
            <w:vAlign w:val="center"/>
          </w:tcPr>
          <w:p>
            <w:pPr>
              <w:jc w:val="center"/>
              <w:rPr>
                <w:rFonts w:asciiTheme="minorEastAsia" w:hAnsiTheme="minorEastAsia"/>
                <w:sz w:val="18"/>
                <w:szCs w:val="18"/>
              </w:rPr>
            </w:pPr>
            <w:r>
              <w:rPr>
                <w:rFonts w:hint="eastAsia" w:asciiTheme="minorEastAsia" w:hAnsiTheme="minorEastAsia"/>
                <w:sz w:val="18"/>
                <w:szCs w:val="18"/>
              </w:rPr>
              <w:t>97.14</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continue"/>
            <w:shd w:val="clear" w:color="auto" w:fill="FBE4D5" w:themeFill="accent2" w:themeFillTint="33"/>
            <w:vAlign w:val="center"/>
          </w:tcPr>
          <w:p>
            <w:pPr>
              <w:jc w:val="center"/>
              <w:rPr>
                <w:rFonts w:asciiTheme="minorEastAsia" w:hAnsiTheme="minorEastAsia"/>
                <w:b w:val="0"/>
                <w:bCs/>
                <w:sz w:val="18"/>
                <w:szCs w:val="18"/>
              </w:rPr>
            </w:pPr>
          </w:p>
        </w:tc>
        <w:tc>
          <w:tcPr>
            <w:tcW w:w="1860"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信息管理与信息系统</w:t>
            </w:r>
          </w:p>
        </w:tc>
        <w:tc>
          <w:tcPr>
            <w:tcW w:w="1425"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66</w:t>
            </w:r>
          </w:p>
        </w:tc>
        <w:tc>
          <w:tcPr>
            <w:tcW w:w="125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56</w:t>
            </w:r>
          </w:p>
        </w:tc>
        <w:tc>
          <w:tcPr>
            <w:tcW w:w="147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84.85</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continue"/>
            <w:shd w:val="clear" w:color="auto" w:fill="FBE4D5" w:themeFill="accent2" w:themeFillTint="33"/>
            <w:vAlign w:val="center"/>
          </w:tcPr>
          <w:p>
            <w:pPr>
              <w:jc w:val="center"/>
              <w:rPr>
                <w:rFonts w:asciiTheme="minorEastAsia" w:hAnsiTheme="minorEastAsia"/>
                <w:b w:val="0"/>
                <w:bCs/>
                <w:sz w:val="18"/>
                <w:szCs w:val="18"/>
              </w:rPr>
            </w:pPr>
          </w:p>
        </w:tc>
        <w:tc>
          <w:tcPr>
            <w:tcW w:w="1860" w:type="dxa"/>
            <w:vAlign w:val="center"/>
          </w:tcPr>
          <w:p>
            <w:pPr>
              <w:jc w:val="center"/>
              <w:rPr>
                <w:rFonts w:asciiTheme="minorEastAsia" w:hAnsiTheme="minorEastAsia"/>
                <w:b/>
                <w:sz w:val="18"/>
                <w:szCs w:val="18"/>
              </w:rPr>
            </w:pPr>
            <w:r>
              <w:rPr>
                <w:rFonts w:hint="eastAsia" w:asciiTheme="minorEastAsia" w:hAnsiTheme="minorEastAsia"/>
                <w:b/>
                <w:sz w:val="18"/>
                <w:szCs w:val="18"/>
              </w:rPr>
              <w:t>总计</w:t>
            </w:r>
          </w:p>
        </w:tc>
        <w:tc>
          <w:tcPr>
            <w:tcW w:w="1425" w:type="dxa"/>
            <w:vAlign w:val="center"/>
          </w:tcPr>
          <w:p>
            <w:pPr>
              <w:jc w:val="center"/>
              <w:rPr>
                <w:rFonts w:asciiTheme="minorEastAsia" w:hAnsiTheme="minorEastAsia"/>
                <w:b/>
                <w:sz w:val="18"/>
                <w:szCs w:val="18"/>
              </w:rPr>
            </w:pPr>
            <w:r>
              <w:rPr>
                <w:rFonts w:hint="eastAsia" w:asciiTheme="minorEastAsia" w:hAnsiTheme="minorEastAsia"/>
                <w:b/>
                <w:sz w:val="18"/>
                <w:szCs w:val="18"/>
              </w:rPr>
              <w:t>357</w:t>
            </w:r>
          </w:p>
        </w:tc>
        <w:tc>
          <w:tcPr>
            <w:tcW w:w="1258" w:type="dxa"/>
            <w:vAlign w:val="center"/>
          </w:tcPr>
          <w:p>
            <w:pPr>
              <w:jc w:val="center"/>
              <w:rPr>
                <w:rFonts w:asciiTheme="minorEastAsia" w:hAnsiTheme="minorEastAsia"/>
                <w:b/>
                <w:sz w:val="18"/>
                <w:szCs w:val="18"/>
              </w:rPr>
            </w:pPr>
            <w:r>
              <w:rPr>
                <w:rFonts w:hint="eastAsia" w:asciiTheme="minorEastAsia" w:hAnsiTheme="minorEastAsia"/>
                <w:b/>
                <w:sz w:val="18"/>
                <w:szCs w:val="18"/>
              </w:rPr>
              <w:t>341</w:t>
            </w:r>
          </w:p>
        </w:tc>
        <w:tc>
          <w:tcPr>
            <w:tcW w:w="1478" w:type="dxa"/>
            <w:vAlign w:val="center"/>
          </w:tcPr>
          <w:p>
            <w:pPr>
              <w:jc w:val="center"/>
              <w:rPr>
                <w:rFonts w:asciiTheme="minorEastAsia" w:hAnsiTheme="minorEastAsia"/>
                <w:b/>
                <w:sz w:val="18"/>
                <w:szCs w:val="18"/>
              </w:rPr>
            </w:pPr>
            <w:r>
              <w:rPr>
                <w:rFonts w:hint="eastAsia" w:asciiTheme="minorEastAsia" w:hAnsiTheme="minorEastAsia"/>
                <w:b/>
                <w:sz w:val="18"/>
                <w:szCs w:val="18"/>
              </w:rPr>
              <w:t>95.52</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restart"/>
            <w:shd w:val="clear" w:color="auto" w:fill="FBE4D5" w:themeFill="accent2" w:themeFillTint="33"/>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经济与贸易学院</w:t>
            </w:r>
          </w:p>
        </w:tc>
        <w:tc>
          <w:tcPr>
            <w:tcW w:w="1860"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电子商务</w:t>
            </w:r>
          </w:p>
        </w:tc>
        <w:tc>
          <w:tcPr>
            <w:tcW w:w="1425"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37</w:t>
            </w:r>
          </w:p>
        </w:tc>
        <w:tc>
          <w:tcPr>
            <w:tcW w:w="125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37</w:t>
            </w:r>
          </w:p>
        </w:tc>
        <w:tc>
          <w:tcPr>
            <w:tcW w:w="147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100.00</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continue"/>
            <w:shd w:val="clear" w:color="auto" w:fill="FBE4D5" w:themeFill="accent2" w:themeFillTint="33"/>
            <w:vAlign w:val="center"/>
          </w:tcPr>
          <w:p>
            <w:pPr>
              <w:jc w:val="center"/>
              <w:rPr>
                <w:rFonts w:asciiTheme="minorEastAsia" w:hAnsiTheme="minorEastAsia"/>
                <w:b w:val="0"/>
                <w:bCs/>
                <w:sz w:val="18"/>
                <w:szCs w:val="18"/>
              </w:rPr>
            </w:pPr>
          </w:p>
        </w:tc>
        <w:tc>
          <w:tcPr>
            <w:tcW w:w="1860" w:type="dxa"/>
            <w:vAlign w:val="center"/>
          </w:tcPr>
          <w:p>
            <w:pPr>
              <w:jc w:val="center"/>
              <w:rPr>
                <w:rFonts w:asciiTheme="minorEastAsia" w:hAnsiTheme="minorEastAsia"/>
                <w:sz w:val="18"/>
                <w:szCs w:val="18"/>
              </w:rPr>
            </w:pPr>
            <w:r>
              <w:rPr>
                <w:rFonts w:hint="eastAsia" w:asciiTheme="minorEastAsia" w:hAnsiTheme="minorEastAsia"/>
                <w:sz w:val="18"/>
                <w:szCs w:val="18"/>
              </w:rPr>
              <w:t>国际经济与贸易</w:t>
            </w:r>
          </w:p>
        </w:tc>
        <w:tc>
          <w:tcPr>
            <w:tcW w:w="1425" w:type="dxa"/>
            <w:vAlign w:val="center"/>
          </w:tcPr>
          <w:p>
            <w:pPr>
              <w:widowControl/>
              <w:jc w:val="center"/>
              <w:rPr>
                <w:rFonts w:asciiTheme="minorEastAsia" w:hAnsiTheme="minorEastAsia"/>
                <w:color w:val="000000"/>
                <w:sz w:val="18"/>
                <w:szCs w:val="18"/>
              </w:rPr>
            </w:pPr>
            <w:r>
              <w:rPr>
                <w:rFonts w:hint="eastAsia" w:asciiTheme="minorEastAsia" w:hAnsiTheme="minorEastAsia"/>
                <w:color w:val="000000"/>
                <w:sz w:val="18"/>
                <w:szCs w:val="18"/>
              </w:rPr>
              <w:t>152</w:t>
            </w:r>
          </w:p>
        </w:tc>
        <w:tc>
          <w:tcPr>
            <w:tcW w:w="1258" w:type="dxa"/>
            <w:vAlign w:val="center"/>
          </w:tcPr>
          <w:p>
            <w:pPr>
              <w:jc w:val="center"/>
              <w:rPr>
                <w:rFonts w:asciiTheme="minorEastAsia" w:hAnsiTheme="minorEastAsia"/>
                <w:color w:val="000000"/>
                <w:sz w:val="18"/>
                <w:szCs w:val="18"/>
              </w:rPr>
            </w:pPr>
            <w:r>
              <w:rPr>
                <w:rFonts w:hint="eastAsia" w:asciiTheme="minorEastAsia" w:hAnsiTheme="minorEastAsia"/>
                <w:color w:val="000000"/>
                <w:sz w:val="18"/>
                <w:szCs w:val="18"/>
              </w:rPr>
              <w:t>137</w:t>
            </w:r>
          </w:p>
        </w:tc>
        <w:tc>
          <w:tcPr>
            <w:tcW w:w="1478" w:type="dxa"/>
            <w:vAlign w:val="center"/>
          </w:tcPr>
          <w:p>
            <w:pPr>
              <w:jc w:val="center"/>
              <w:rPr>
                <w:rFonts w:asciiTheme="minorEastAsia" w:hAnsiTheme="minorEastAsia"/>
                <w:color w:val="000000"/>
                <w:sz w:val="18"/>
                <w:szCs w:val="18"/>
              </w:rPr>
            </w:pPr>
            <w:r>
              <w:rPr>
                <w:rFonts w:hint="eastAsia" w:asciiTheme="minorEastAsia" w:hAnsiTheme="minorEastAsia"/>
                <w:color w:val="000000"/>
                <w:sz w:val="18"/>
                <w:szCs w:val="18"/>
              </w:rPr>
              <w:t>90.13</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continue"/>
            <w:shd w:val="clear" w:color="auto" w:fill="FBE4D5" w:themeFill="accent2" w:themeFillTint="33"/>
            <w:vAlign w:val="center"/>
          </w:tcPr>
          <w:p>
            <w:pPr>
              <w:jc w:val="center"/>
              <w:rPr>
                <w:rFonts w:asciiTheme="minorEastAsia" w:hAnsiTheme="minorEastAsia"/>
                <w:b w:val="0"/>
                <w:bCs/>
                <w:sz w:val="18"/>
                <w:szCs w:val="18"/>
              </w:rPr>
            </w:pPr>
          </w:p>
        </w:tc>
        <w:tc>
          <w:tcPr>
            <w:tcW w:w="1860"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经济学</w:t>
            </w:r>
          </w:p>
        </w:tc>
        <w:tc>
          <w:tcPr>
            <w:tcW w:w="1425" w:type="dxa"/>
            <w:shd w:val="clear" w:color="auto" w:fill="FBE4D5" w:themeFill="accent2" w:themeFillTint="33"/>
            <w:vAlign w:val="center"/>
          </w:tcPr>
          <w:p>
            <w:pPr>
              <w:jc w:val="center"/>
              <w:rPr>
                <w:rFonts w:asciiTheme="minorEastAsia" w:hAnsiTheme="minorEastAsia"/>
                <w:color w:val="000000"/>
                <w:sz w:val="18"/>
                <w:szCs w:val="18"/>
              </w:rPr>
            </w:pPr>
            <w:r>
              <w:rPr>
                <w:rFonts w:hint="eastAsia" w:asciiTheme="minorEastAsia" w:hAnsiTheme="minorEastAsia"/>
                <w:color w:val="000000"/>
                <w:sz w:val="18"/>
                <w:szCs w:val="18"/>
              </w:rPr>
              <w:t>53</w:t>
            </w:r>
          </w:p>
        </w:tc>
        <w:tc>
          <w:tcPr>
            <w:tcW w:w="1258" w:type="dxa"/>
            <w:shd w:val="clear" w:color="auto" w:fill="FBE4D5" w:themeFill="accent2" w:themeFillTint="33"/>
            <w:vAlign w:val="center"/>
          </w:tcPr>
          <w:p>
            <w:pPr>
              <w:jc w:val="center"/>
              <w:rPr>
                <w:rFonts w:asciiTheme="minorEastAsia" w:hAnsiTheme="minorEastAsia"/>
                <w:color w:val="000000"/>
                <w:sz w:val="18"/>
                <w:szCs w:val="18"/>
              </w:rPr>
            </w:pPr>
            <w:r>
              <w:rPr>
                <w:rFonts w:hint="eastAsia" w:asciiTheme="minorEastAsia" w:hAnsiTheme="minorEastAsia"/>
                <w:color w:val="000000"/>
                <w:sz w:val="18"/>
                <w:szCs w:val="18"/>
              </w:rPr>
              <w:t>50</w:t>
            </w:r>
          </w:p>
        </w:tc>
        <w:tc>
          <w:tcPr>
            <w:tcW w:w="1478" w:type="dxa"/>
            <w:shd w:val="clear" w:color="auto" w:fill="FBE4D5" w:themeFill="accent2" w:themeFillTint="33"/>
            <w:vAlign w:val="center"/>
          </w:tcPr>
          <w:p>
            <w:pPr>
              <w:jc w:val="center"/>
              <w:rPr>
                <w:rFonts w:asciiTheme="minorEastAsia" w:hAnsiTheme="minorEastAsia"/>
                <w:color w:val="000000"/>
                <w:sz w:val="18"/>
                <w:szCs w:val="18"/>
              </w:rPr>
            </w:pPr>
            <w:r>
              <w:rPr>
                <w:rFonts w:hint="eastAsia" w:asciiTheme="minorEastAsia" w:hAnsiTheme="minorEastAsia"/>
                <w:color w:val="000000"/>
                <w:sz w:val="18"/>
                <w:szCs w:val="18"/>
              </w:rPr>
              <w:t>94.34</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continue"/>
            <w:shd w:val="clear" w:color="auto" w:fill="FBE4D5" w:themeFill="accent2" w:themeFillTint="33"/>
            <w:vAlign w:val="center"/>
          </w:tcPr>
          <w:p>
            <w:pPr>
              <w:jc w:val="center"/>
              <w:rPr>
                <w:rFonts w:asciiTheme="minorEastAsia" w:hAnsiTheme="minorEastAsia"/>
                <w:b w:val="0"/>
                <w:bCs/>
                <w:sz w:val="18"/>
                <w:szCs w:val="18"/>
              </w:rPr>
            </w:pPr>
          </w:p>
        </w:tc>
        <w:tc>
          <w:tcPr>
            <w:tcW w:w="1860" w:type="dxa"/>
            <w:vAlign w:val="center"/>
          </w:tcPr>
          <w:p>
            <w:pPr>
              <w:jc w:val="center"/>
              <w:rPr>
                <w:rFonts w:asciiTheme="minorEastAsia" w:hAnsiTheme="minorEastAsia"/>
                <w:sz w:val="18"/>
                <w:szCs w:val="18"/>
              </w:rPr>
            </w:pPr>
            <w:r>
              <w:rPr>
                <w:rFonts w:hint="eastAsia" w:asciiTheme="minorEastAsia" w:hAnsiTheme="minorEastAsia"/>
                <w:sz w:val="18"/>
                <w:szCs w:val="18"/>
              </w:rPr>
              <w:t>贸易经济</w:t>
            </w:r>
          </w:p>
        </w:tc>
        <w:tc>
          <w:tcPr>
            <w:tcW w:w="1425" w:type="dxa"/>
            <w:vAlign w:val="center"/>
          </w:tcPr>
          <w:p>
            <w:pPr>
              <w:jc w:val="center"/>
              <w:rPr>
                <w:rFonts w:asciiTheme="minorEastAsia" w:hAnsiTheme="minorEastAsia"/>
                <w:color w:val="000000"/>
                <w:sz w:val="18"/>
                <w:szCs w:val="18"/>
              </w:rPr>
            </w:pPr>
            <w:r>
              <w:rPr>
                <w:rFonts w:hint="eastAsia" w:asciiTheme="minorEastAsia" w:hAnsiTheme="minorEastAsia"/>
                <w:color w:val="000000"/>
                <w:sz w:val="18"/>
                <w:szCs w:val="18"/>
              </w:rPr>
              <w:t>51</w:t>
            </w:r>
          </w:p>
        </w:tc>
        <w:tc>
          <w:tcPr>
            <w:tcW w:w="1258" w:type="dxa"/>
            <w:vAlign w:val="center"/>
          </w:tcPr>
          <w:p>
            <w:pPr>
              <w:jc w:val="center"/>
              <w:rPr>
                <w:rFonts w:asciiTheme="minorEastAsia" w:hAnsiTheme="minorEastAsia"/>
                <w:color w:val="000000"/>
                <w:sz w:val="18"/>
                <w:szCs w:val="18"/>
              </w:rPr>
            </w:pPr>
            <w:r>
              <w:rPr>
                <w:rFonts w:hint="eastAsia" w:asciiTheme="minorEastAsia" w:hAnsiTheme="minorEastAsia"/>
                <w:color w:val="000000"/>
                <w:sz w:val="18"/>
                <w:szCs w:val="18"/>
              </w:rPr>
              <w:t>47</w:t>
            </w:r>
          </w:p>
        </w:tc>
        <w:tc>
          <w:tcPr>
            <w:tcW w:w="1478" w:type="dxa"/>
            <w:vAlign w:val="center"/>
          </w:tcPr>
          <w:p>
            <w:pPr>
              <w:jc w:val="center"/>
              <w:rPr>
                <w:rFonts w:asciiTheme="minorEastAsia" w:hAnsiTheme="minorEastAsia"/>
                <w:color w:val="000000"/>
                <w:sz w:val="18"/>
                <w:szCs w:val="18"/>
              </w:rPr>
            </w:pPr>
            <w:r>
              <w:rPr>
                <w:rFonts w:hint="eastAsia" w:asciiTheme="minorEastAsia" w:hAnsiTheme="minorEastAsia"/>
                <w:color w:val="000000"/>
                <w:sz w:val="18"/>
                <w:szCs w:val="18"/>
              </w:rPr>
              <w:t>92.16</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continue"/>
            <w:shd w:val="clear" w:color="auto" w:fill="FBE4D5" w:themeFill="accent2" w:themeFillTint="33"/>
            <w:vAlign w:val="center"/>
          </w:tcPr>
          <w:p>
            <w:pPr>
              <w:jc w:val="center"/>
              <w:rPr>
                <w:rFonts w:asciiTheme="minorEastAsia" w:hAnsiTheme="minorEastAsia"/>
                <w:b w:val="0"/>
                <w:bCs/>
                <w:sz w:val="18"/>
                <w:szCs w:val="18"/>
              </w:rPr>
            </w:pPr>
          </w:p>
        </w:tc>
        <w:tc>
          <w:tcPr>
            <w:tcW w:w="1860" w:type="dxa"/>
            <w:shd w:val="clear" w:color="auto" w:fill="FBE4D5" w:themeFill="accent2" w:themeFillTint="33"/>
            <w:vAlign w:val="center"/>
          </w:tcPr>
          <w:p>
            <w:pPr>
              <w:jc w:val="center"/>
              <w:rPr>
                <w:rFonts w:asciiTheme="minorEastAsia" w:hAnsiTheme="minorEastAsia"/>
                <w:b/>
                <w:sz w:val="18"/>
                <w:szCs w:val="18"/>
              </w:rPr>
            </w:pPr>
            <w:r>
              <w:rPr>
                <w:rFonts w:hint="eastAsia" w:asciiTheme="minorEastAsia" w:hAnsiTheme="minorEastAsia"/>
                <w:b/>
                <w:sz w:val="18"/>
                <w:szCs w:val="18"/>
              </w:rPr>
              <w:t>总计</w:t>
            </w:r>
          </w:p>
        </w:tc>
        <w:tc>
          <w:tcPr>
            <w:tcW w:w="1425" w:type="dxa"/>
            <w:shd w:val="clear" w:color="auto" w:fill="FBE4D5" w:themeFill="accent2" w:themeFillTint="33"/>
            <w:vAlign w:val="center"/>
          </w:tcPr>
          <w:p>
            <w:pPr>
              <w:jc w:val="center"/>
              <w:rPr>
                <w:rFonts w:asciiTheme="minorEastAsia" w:hAnsiTheme="minorEastAsia"/>
                <w:b/>
                <w:bCs/>
                <w:color w:val="000000"/>
                <w:sz w:val="18"/>
                <w:szCs w:val="18"/>
              </w:rPr>
            </w:pPr>
            <w:r>
              <w:rPr>
                <w:rFonts w:hint="eastAsia" w:asciiTheme="minorEastAsia" w:hAnsiTheme="minorEastAsia"/>
                <w:b/>
                <w:bCs/>
                <w:color w:val="000000"/>
                <w:sz w:val="18"/>
                <w:szCs w:val="18"/>
              </w:rPr>
              <w:t>293</w:t>
            </w:r>
          </w:p>
        </w:tc>
        <w:tc>
          <w:tcPr>
            <w:tcW w:w="1258" w:type="dxa"/>
            <w:shd w:val="clear" w:color="auto" w:fill="FBE4D5" w:themeFill="accent2" w:themeFillTint="33"/>
            <w:vAlign w:val="center"/>
          </w:tcPr>
          <w:p>
            <w:pPr>
              <w:jc w:val="center"/>
              <w:rPr>
                <w:rFonts w:asciiTheme="minorEastAsia" w:hAnsiTheme="minorEastAsia"/>
                <w:b/>
                <w:bCs/>
                <w:color w:val="000000"/>
                <w:sz w:val="18"/>
                <w:szCs w:val="18"/>
              </w:rPr>
            </w:pPr>
            <w:r>
              <w:rPr>
                <w:rFonts w:hint="eastAsia" w:asciiTheme="minorEastAsia" w:hAnsiTheme="minorEastAsia"/>
                <w:b/>
                <w:bCs/>
                <w:color w:val="000000"/>
                <w:sz w:val="18"/>
                <w:szCs w:val="18"/>
              </w:rPr>
              <w:t>271</w:t>
            </w:r>
          </w:p>
        </w:tc>
        <w:tc>
          <w:tcPr>
            <w:tcW w:w="1478" w:type="dxa"/>
            <w:shd w:val="clear" w:color="auto" w:fill="FBE4D5" w:themeFill="accent2" w:themeFillTint="33"/>
            <w:vAlign w:val="center"/>
          </w:tcPr>
          <w:p>
            <w:pPr>
              <w:jc w:val="center"/>
              <w:rPr>
                <w:rFonts w:asciiTheme="minorEastAsia" w:hAnsiTheme="minorEastAsia"/>
                <w:b/>
                <w:bCs/>
                <w:color w:val="000000"/>
                <w:sz w:val="18"/>
                <w:szCs w:val="18"/>
              </w:rPr>
            </w:pPr>
            <w:r>
              <w:rPr>
                <w:rFonts w:hint="eastAsia" w:asciiTheme="minorEastAsia" w:hAnsiTheme="minorEastAsia"/>
                <w:b/>
                <w:bCs/>
                <w:color w:val="000000"/>
                <w:sz w:val="18"/>
                <w:szCs w:val="18"/>
              </w:rPr>
              <w:t>92.49</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restart"/>
            <w:shd w:val="clear" w:color="auto" w:fill="FBE4D5" w:themeFill="accent2" w:themeFillTint="33"/>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旅游管理学院</w:t>
            </w:r>
          </w:p>
        </w:tc>
        <w:tc>
          <w:tcPr>
            <w:tcW w:w="1860" w:type="dxa"/>
            <w:vAlign w:val="center"/>
          </w:tcPr>
          <w:p>
            <w:pPr>
              <w:jc w:val="center"/>
              <w:rPr>
                <w:rFonts w:asciiTheme="minorEastAsia" w:hAnsiTheme="minorEastAsia"/>
                <w:sz w:val="18"/>
                <w:szCs w:val="18"/>
              </w:rPr>
            </w:pPr>
            <w:r>
              <w:rPr>
                <w:rFonts w:hint="eastAsia" w:asciiTheme="minorEastAsia" w:hAnsiTheme="minorEastAsia"/>
                <w:sz w:val="18"/>
                <w:szCs w:val="18"/>
              </w:rPr>
              <w:t>会展经济与管理</w:t>
            </w:r>
          </w:p>
        </w:tc>
        <w:tc>
          <w:tcPr>
            <w:tcW w:w="1425" w:type="dxa"/>
            <w:vAlign w:val="center"/>
          </w:tcPr>
          <w:p>
            <w:pPr>
              <w:jc w:val="center"/>
              <w:rPr>
                <w:rFonts w:asciiTheme="minorEastAsia" w:hAnsiTheme="minorEastAsia"/>
                <w:sz w:val="18"/>
                <w:szCs w:val="18"/>
              </w:rPr>
            </w:pPr>
            <w:r>
              <w:rPr>
                <w:rFonts w:hint="eastAsia" w:asciiTheme="minorEastAsia" w:hAnsiTheme="minorEastAsia"/>
                <w:sz w:val="18"/>
                <w:szCs w:val="18"/>
              </w:rPr>
              <w:t>34</w:t>
            </w:r>
          </w:p>
        </w:tc>
        <w:tc>
          <w:tcPr>
            <w:tcW w:w="1258" w:type="dxa"/>
            <w:vAlign w:val="center"/>
          </w:tcPr>
          <w:p>
            <w:pPr>
              <w:jc w:val="center"/>
              <w:rPr>
                <w:rFonts w:asciiTheme="minorEastAsia" w:hAnsiTheme="minorEastAsia"/>
                <w:sz w:val="18"/>
                <w:szCs w:val="18"/>
              </w:rPr>
            </w:pPr>
            <w:r>
              <w:rPr>
                <w:rFonts w:hint="eastAsia" w:asciiTheme="minorEastAsia" w:hAnsiTheme="minorEastAsia"/>
                <w:sz w:val="18"/>
                <w:szCs w:val="18"/>
              </w:rPr>
              <w:t>34</w:t>
            </w:r>
          </w:p>
        </w:tc>
        <w:tc>
          <w:tcPr>
            <w:tcW w:w="1478" w:type="dxa"/>
            <w:vAlign w:val="center"/>
          </w:tcPr>
          <w:p>
            <w:pPr>
              <w:jc w:val="center"/>
              <w:rPr>
                <w:rFonts w:asciiTheme="minorEastAsia" w:hAnsiTheme="minorEastAsia"/>
                <w:sz w:val="18"/>
                <w:szCs w:val="18"/>
              </w:rPr>
            </w:pPr>
            <w:r>
              <w:rPr>
                <w:rFonts w:hint="eastAsia" w:asciiTheme="minorEastAsia" w:hAnsiTheme="minorEastAsia"/>
                <w:sz w:val="18"/>
                <w:szCs w:val="18"/>
              </w:rPr>
              <w:t>100.00</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continue"/>
            <w:shd w:val="clear" w:color="auto" w:fill="FBE4D5" w:themeFill="accent2" w:themeFillTint="33"/>
            <w:vAlign w:val="center"/>
          </w:tcPr>
          <w:p>
            <w:pPr>
              <w:jc w:val="center"/>
              <w:rPr>
                <w:rFonts w:asciiTheme="minorEastAsia" w:hAnsiTheme="minorEastAsia"/>
                <w:b w:val="0"/>
                <w:bCs/>
                <w:sz w:val="18"/>
                <w:szCs w:val="18"/>
              </w:rPr>
            </w:pPr>
          </w:p>
        </w:tc>
        <w:tc>
          <w:tcPr>
            <w:tcW w:w="1860"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酒店管理</w:t>
            </w:r>
          </w:p>
        </w:tc>
        <w:tc>
          <w:tcPr>
            <w:tcW w:w="1425"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41</w:t>
            </w:r>
          </w:p>
        </w:tc>
        <w:tc>
          <w:tcPr>
            <w:tcW w:w="125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41</w:t>
            </w:r>
          </w:p>
        </w:tc>
        <w:tc>
          <w:tcPr>
            <w:tcW w:w="147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100.00</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continue"/>
            <w:shd w:val="clear" w:color="auto" w:fill="FBE4D5" w:themeFill="accent2" w:themeFillTint="33"/>
            <w:vAlign w:val="center"/>
          </w:tcPr>
          <w:p>
            <w:pPr>
              <w:jc w:val="center"/>
              <w:rPr>
                <w:rFonts w:asciiTheme="minorEastAsia" w:hAnsiTheme="minorEastAsia"/>
                <w:b w:val="0"/>
                <w:bCs/>
                <w:sz w:val="18"/>
                <w:szCs w:val="18"/>
              </w:rPr>
            </w:pPr>
          </w:p>
        </w:tc>
        <w:tc>
          <w:tcPr>
            <w:tcW w:w="1860" w:type="dxa"/>
            <w:vAlign w:val="center"/>
          </w:tcPr>
          <w:p>
            <w:pPr>
              <w:jc w:val="center"/>
              <w:rPr>
                <w:rFonts w:asciiTheme="minorEastAsia" w:hAnsiTheme="minorEastAsia"/>
                <w:sz w:val="18"/>
                <w:szCs w:val="18"/>
              </w:rPr>
            </w:pPr>
            <w:r>
              <w:rPr>
                <w:rFonts w:hint="eastAsia" w:asciiTheme="minorEastAsia" w:hAnsiTheme="minorEastAsia"/>
                <w:sz w:val="18"/>
                <w:szCs w:val="18"/>
              </w:rPr>
              <w:t>旅游管理</w:t>
            </w:r>
          </w:p>
        </w:tc>
        <w:tc>
          <w:tcPr>
            <w:tcW w:w="1425" w:type="dxa"/>
            <w:vAlign w:val="center"/>
          </w:tcPr>
          <w:p>
            <w:pPr>
              <w:jc w:val="center"/>
              <w:rPr>
                <w:rFonts w:asciiTheme="minorEastAsia" w:hAnsiTheme="minorEastAsia"/>
                <w:sz w:val="18"/>
                <w:szCs w:val="18"/>
              </w:rPr>
            </w:pPr>
            <w:r>
              <w:rPr>
                <w:rFonts w:hint="eastAsia" w:asciiTheme="minorEastAsia" w:hAnsiTheme="minorEastAsia"/>
                <w:sz w:val="18"/>
                <w:szCs w:val="18"/>
              </w:rPr>
              <w:t>38</w:t>
            </w:r>
          </w:p>
        </w:tc>
        <w:tc>
          <w:tcPr>
            <w:tcW w:w="1258" w:type="dxa"/>
            <w:vAlign w:val="center"/>
          </w:tcPr>
          <w:p>
            <w:pPr>
              <w:jc w:val="center"/>
              <w:rPr>
                <w:rFonts w:asciiTheme="minorEastAsia" w:hAnsiTheme="minorEastAsia"/>
                <w:sz w:val="18"/>
                <w:szCs w:val="18"/>
              </w:rPr>
            </w:pPr>
            <w:r>
              <w:rPr>
                <w:rFonts w:hint="eastAsia" w:asciiTheme="minorEastAsia" w:hAnsiTheme="minorEastAsia"/>
                <w:sz w:val="18"/>
                <w:szCs w:val="18"/>
              </w:rPr>
              <w:t>38</w:t>
            </w:r>
          </w:p>
        </w:tc>
        <w:tc>
          <w:tcPr>
            <w:tcW w:w="1478" w:type="dxa"/>
            <w:vAlign w:val="center"/>
          </w:tcPr>
          <w:p>
            <w:pPr>
              <w:jc w:val="center"/>
              <w:rPr>
                <w:rFonts w:asciiTheme="minorEastAsia" w:hAnsiTheme="minorEastAsia"/>
                <w:sz w:val="18"/>
                <w:szCs w:val="18"/>
              </w:rPr>
            </w:pPr>
            <w:r>
              <w:rPr>
                <w:rFonts w:hint="eastAsia" w:asciiTheme="minorEastAsia" w:hAnsiTheme="minorEastAsia"/>
                <w:sz w:val="18"/>
                <w:szCs w:val="18"/>
              </w:rPr>
              <w:t>100.00</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continue"/>
            <w:shd w:val="clear" w:color="auto" w:fill="FBE4D5" w:themeFill="accent2" w:themeFillTint="33"/>
            <w:vAlign w:val="center"/>
          </w:tcPr>
          <w:p>
            <w:pPr>
              <w:jc w:val="center"/>
              <w:rPr>
                <w:rFonts w:asciiTheme="minorEastAsia" w:hAnsiTheme="minorEastAsia"/>
                <w:b w:val="0"/>
                <w:bCs/>
                <w:sz w:val="18"/>
                <w:szCs w:val="18"/>
              </w:rPr>
            </w:pPr>
          </w:p>
        </w:tc>
        <w:tc>
          <w:tcPr>
            <w:tcW w:w="1860" w:type="dxa"/>
            <w:shd w:val="clear" w:color="auto" w:fill="FBE4D5" w:themeFill="accent2" w:themeFillTint="33"/>
            <w:vAlign w:val="center"/>
          </w:tcPr>
          <w:p>
            <w:pPr>
              <w:jc w:val="center"/>
              <w:rPr>
                <w:rFonts w:asciiTheme="minorEastAsia" w:hAnsiTheme="minorEastAsia"/>
                <w:b/>
                <w:sz w:val="18"/>
                <w:szCs w:val="18"/>
              </w:rPr>
            </w:pPr>
            <w:r>
              <w:rPr>
                <w:rFonts w:hint="eastAsia" w:asciiTheme="minorEastAsia" w:hAnsiTheme="minorEastAsia"/>
                <w:b/>
                <w:sz w:val="18"/>
                <w:szCs w:val="18"/>
              </w:rPr>
              <w:t>总计</w:t>
            </w:r>
          </w:p>
        </w:tc>
        <w:tc>
          <w:tcPr>
            <w:tcW w:w="1425" w:type="dxa"/>
            <w:shd w:val="clear" w:color="auto" w:fill="FBE4D5" w:themeFill="accent2" w:themeFillTint="33"/>
            <w:vAlign w:val="center"/>
          </w:tcPr>
          <w:p>
            <w:pPr>
              <w:jc w:val="center"/>
              <w:rPr>
                <w:rFonts w:asciiTheme="minorEastAsia" w:hAnsiTheme="minorEastAsia"/>
                <w:b/>
                <w:sz w:val="18"/>
                <w:szCs w:val="18"/>
              </w:rPr>
            </w:pPr>
            <w:r>
              <w:rPr>
                <w:rFonts w:hint="eastAsia" w:asciiTheme="minorEastAsia" w:hAnsiTheme="minorEastAsia"/>
                <w:b/>
                <w:sz w:val="18"/>
                <w:szCs w:val="18"/>
              </w:rPr>
              <w:t>113</w:t>
            </w:r>
          </w:p>
        </w:tc>
        <w:tc>
          <w:tcPr>
            <w:tcW w:w="1258" w:type="dxa"/>
            <w:shd w:val="clear" w:color="auto" w:fill="FBE4D5" w:themeFill="accent2" w:themeFillTint="33"/>
            <w:vAlign w:val="center"/>
          </w:tcPr>
          <w:p>
            <w:pPr>
              <w:jc w:val="center"/>
              <w:rPr>
                <w:rFonts w:asciiTheme="minorEastAsia" w:hAnsiTheme="minorEastAsia"/>
                <w:b/>
                <w:sz w:val="18"/>
                <w:szCs w:val="18"/>
              </w:rPr>
            </w:pPr>
            <w:r>
              <w:rPr>
                <w:rFonts w:hint="eastAsia" w:asciiTheme="minorEastAsia" w:hAnsiTheme="minorEastAsia"/>
                <w:b/>
                <w:sz w:val="18"/>
                <w:szCs w:val="18"/>
              </w:rPr>
              <w:t>113</w:t>
            </w:r>
          </w:p>
        </w:tc>
        <w:tc>
          <w:tcPr>
            <w:tcW w:w="1478" w:type="dxa"/>
            <w:shd w:val="clear" w:color="auto" w:fill="FBE4D5" w:themeFill="accent2" w:themeFillTint="33"/>
            <w:vAlign w:val="center"/>
          </w:tcPr>
          <w:p>
            <w:pPr>
              <w:jc w:val="center"/>
              <w:rPr>
                <w:rFonts w:asciiTheme="minorEastAsia" w:hAnsiTheme="minorEastAsia"/>
                <w:b/>
                <w:sz w:val="18"/>
                <w:szCs w:val="18"/>
              </w:rPr>
            </w:pPr>
            <w:r>
              <w:rPr>
                <w:rFonts w:hint="eastAsia" w:asciiTheme="minorEastAsia" w:hAnsiTheme="minorEastAsia"/>
                <w:b/>
                <w:sz w:val="18"/>
                <w:szCs w:val="18"/>
              </w:rPr>
              <w:t>100.00</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restart"/>
            <w:shd w:val="clear" w:color="auto" w:fill="FBE4D5" w:themeFill="accent2" w:themeFillTint="33"/>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设计艺术学院</w:t>
            </w:r>
          </w:p>
        </w:tc>
        <w:tc>
          <w:tcPr>
            <w:tcW w:w="1860" w:type="dxa"/>
            <w:vAlign w:val="center"/>
          </w:tcPr>
          <w:p>
            <w:pPr>
              <w:jc w:val="center"/>
              <w:rPr>
                <w:rFonts w:asciiTheme="minorEastAsia" w:hAnsiTheme="minorEastAsia"/>
                <w:sz w:val="18"/>
                <w:szCs w:val="18"/>
              </w:rPr>
            </w:pPr>
            <w:r>
              <w:rPr>
                <w:rFonts w:hint="eastAsia" w:asciiTheme="minorEastAsia" w:hAnsiTheme="minorEastAsia"/>
                <w:sz w:val="18"/>
                <w:szCs w:val="18"/>
              </w:rPr>
              <w:t>动画</w:t>
            </w:r>
          </w:p>
        </w:tc>
        <w:tc>
          <w:tcPr>
            <w:tcW w:w="1425" w:type="dxa"/>
            <w:vAlign w:val="center"/>
          </w:tcPr>
          <w:p>
            <w:pPr>
              <w:jc w:val="center"/>
              <w:rPr>
                <w:rFonts w:asciiTheme="minorEastAsia" w:hAnsiTheme="minorEastAsia"/>
                <w:sz w:val="18"/>
                <w:szCs w:val="18"/>
              </w:rPr>
            </w:pPr>
            <w:r>
              <w:rPr>
                <w:rFonts w:hint="eastAsia" w:asciiTheme="minorEastAsia" w:hAnsiTheme="minorEastAsia"/>
                <w:sz w:val="18"/>
                <w:szCs w:val="18"/>
              </w:rPr>
              <w:t>57</w:t>
            </w:r>
          </w:p>
        </w:tc>
        <w:tc>
          <w:tcPr>
            <w:tcW w:w="1258" w:type="dxa"/>
            <w:vAlign w:val="center"/>
          </w:tcPr>
          <w:p>
            <w:pPr>
              <w:jc w:val="center"/>
              <w:rPr>
                <w:rFonts w:asciiTheme="minorEastAsia" w:hAnsiTheme="minorEastAsia"/>
                <w:sz w:val="18"/>
                <w:szCs w:val="18"/>
              </w:rPr>
            </w:pPr>
            <w:r>
              <w:rPr>
                <w:rFonts w:hint="eastAsia" w:asciiTheme="minorEastAsia" w:hAnsiTheme="minorEastAsia"/>
                <w:sz w:val="18"/>
                <w:szCs w:val="18"/>
              </w:rPr>
              <w:t>48</w:t>
            </w:r>
          </w:p>
        </w:tc>
        <w:tc>
          <w:tcPr>
            <w:tcW w:w="1478" w:type="dxa"/>
            <w:vAlign w:val="center"/>
          </w:tcPr>
          <w:p>
            <w:pPr>
              <w:jc w:val="center"/>
              <w:rPr>
                <w:rFonts w:asciiTheme="minorEastAsia" w:hAnsiTheme="minorEastAsia"/>
                <w:sz w:val="18"/>
                <w:szCs w:val="18"/>
              </w:rPr>
            </w:pPr>
            <w:r>
              <w:rPr>
                <w:rFonts w:hint="eastAsia" w:asciiTheme="minorEastAsia" w:hAnsiTheme="minorEastAsia"/>
                <w:sz w:val="18"/>
                <w:szCs w:val="18"/>
              </w:rPr>
              <w:t>84.21</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continue"/>
            <w:shd w:val="clear" w:color="auto" w:fill="FBE4D5" w:themeFill="accent2" w:themeFillTint="33"/>
            <w:vAlign w:val="center"/>
          </w:tcPr>
          <w:p>
            <w:pPr>
              <w:jc w:val="center"/>
              <w:rPr>
                <w:rFonts w:asciiTheme="minorEastAsia" w:hAnsiTheme="minorEastAsia"/>
                <w:b w:val="0"/>
                <w:bCs/>
                <w:sz w:val="18"/>
                <w:szCs w:val="18"/>
              </w:rPr>
            </w:pPr>
          </w:p>
        </w:tc>
        <w:tc>
          <w:tcPr>
            <w:tcW w:w="1860"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文化产业管理</w:t>
            </w:r>
          </w:p>
        </w:tc>
        <w:tc>
          <w:tcPr>
            <w:tcW w:w="1425"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31</w:t>
            </w:r>
          </w:p>
        </w:tc>
        <w:tc>
          <w:tcPr>
            <w:tcW w:w="125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29</w:t>
            </w:r>
          </w:p>
        </w:tc>
        <w:tc>
          <w:tcPr>
            <w:tcW w:w="147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93.55</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continue"/>
            <w:shd w:val="clear" w:color="auto" w:fill="FBE4D5" w:themeFill="accent2" w:themeFillTint="33"/>
            <w:vAlign w:val="center"/>
          </w:tcPr>
          <w:p>
            <w:pPr>
              <w:jc w:val="center"/>
              <w:rPr>
                <w:rFonts w:asciiTheme="minorEastAsia" w:hAnsiTheme="minorEastAsia"/>
                <w:b w:val="0"/>
                <w:bCs/>
                <w:sz w:val="18"/>
                <w:szCs w:val="18"/>
              </w:rPr>
            </w:pPr>
          </w:p>
        </w:tc>
        <w:tc>
          <w:tcPr>
            <w:tcW w:w="1860" w:type="dxa"/>
            <w:vAlign w:val="center"/>
          </w:tcPr>
          <w:p>
            <w:pPr>
              <w:jc w:val="center"/>
              <w:rPr>
                <w:rFonts w:asciiTheme="minorEastAsia" w:hAnsiTheme="minorEastAsia"/>
                <w:sz w:val="18"/>
                <w:szCs w:val="18"/>
              </w:rPr>
            </w:pPr>
            <w:r>
              <w:rPr>
                <w:rFonts w:hint="eastAsia" w:asciiTheme="minorEastAsia" w:hAnsiTheme="minorEastAsia"/>
                <w:sz w:val="18"/>
                <w:szCs w:val="18"/>
              </w:rPr>
              <w:t>艺术设计</w:t>
            </w:r>
          </w:p>
        </w:tc>
        <w:tc>
          <w:tcPr>
            <w:tcW w:w="1425" w:type="dxa"/>
            <w:vAlign w:val="center"/>
          </w:tcPr>
          <w:p>
            <w:pPr>
              <w:jc w:val="center"/>
              <w:rPr>
                <w:rFonts w:asciiTheme="minorEastAsia" w:hAnsiTheme="minorEastAsia"/>
                <w:sz w:val="18"/>
                <w:szCs w:val="18"/>
              </w:rPr>
            </w:pPr>
            <w:r>
              <w:rPr>
                <w:rFonts w:hint="eastAsia" w:asciiTheme="minorEastAsia" w:hAnsiTheme="minorEastAsia"/>
                <w:sz w:val="18"/>
                <w:szCs w:val="18"/>
              </w:rPr>
              <w:t>228</w:t>
            </w:r>
          </w:p>
        </w:tc>
        <w:tc>
          <w:tcPr>
            <w:tcW w:w="1258" w:type="dxa"/>
            <w:vAlign w:val="center"/>
          </w:tcPr>
          <w:p>
            <w:pPr>
              <w:jc w:val="center"/>
              <w:rPr>
                <w:rFonts w:asciiTheme="minorEastAsia" w:hAnsiTheme="minorEastAsia"/>
                <w:sz w:val="18"/>
                <w:szCs w:val="18"/>
              </w:rPr>
            </w:pPr>
            <w:r>
              <w:rPr>
                <w:rFonts w:hint="eastAsia" w:asciiTheme="minorEastAsia" w:hAnsiTheme="minorEastAsia"/>
                <w:sz w:val="18"/>
                <w:szCs w:val="18"/>
              </w:rPr>
              <w:t>211</w:t>
            </w:r>
          </w:p>
        </w:tc>
        <w:tc>
          <w:tcPr>
            <w:tcW w:w="1478" w:type="dxa"/>
            <w:vAlign w:val="center"/>
          </w:tcPr>
          <w:p>
            <w:pPr>
              <w:jc w:val="center"/>
              <w:rPr>
                <w:rFonts w:asciiTheme="minorEastAsia" w:hAnsiTheme="minorEastAsia"/>
                <w:sz w:val="18"/>
                <w:szCs w:val="18"/>
              </w:rPr>
            </w:pPr>
            <w:r>
              <w:rPr>
                <w:rFonts w:hint="eastAsia" w:asciiTheme="minorEastAsia" w:hAnsiTheme="minorEastAsia"/>
                <w:sz w:val="18"/>
                <w:szCs w:val="18"/>
              </w:rPr>
              <w:t>92.54</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continue"/>
            <w:shd w:val="clear" w:color="auto" w:fill="FBE4D5" w:themeFill="accent2" w:themeFillTint="33"/>
            <w:vAlign w:val="center"/>
          </w:tcPr>
          <w:p>
            <w:pPr>
              <w:jc w:val="center"/>
              <w:rPr>
                <w:rFonts w:asciiTheme="minorEastAsia" w:hAnsiTheme="minorEastAsia"/>
                <w:b w:val="0"/>
                <w:bCs/>
                <w:sz w:val="18"/>
                <w:szCs w:val="18"/>
              </w:rPr>
            </w:pPr>
          </w:p>
        </w:tc>
        <w:tc>
          <w:tcPr>
            <w:tcW w:w="1860" w:type="dxa"/>
            <w:shd w:val="clear" w:color="auto" w:fill="FBE4D5" w:themeFill="accent2" w:themeFillTint="33"/>
            <w:vAlign w:val="center"/>
          </w:tcPr>
          <w:p>
            <w:pPr>
              <w:jc w:val="center"/>
              <w:rPr>
                <w:rFonts w:asciiTheme="minorEastAsia" w:hAnsiTheme="minorEastAsia"/>
                <w:b/>
                <w:sz w:val="18"/>
                <w:szCs w:val="18"/>
              </w:rPr>
            </w:pPr>
            <w:r>
              <w:rPr>
                <w:rFonts w:hint="eastAsia" w:asciiTheme="minorEastAsia" w:hAnsiTheme="minorEastAsia"/>
                <w:b/>
                <w:sz w:val="18"/>
                <w:szCs w:val="18"/>
              </w:rPr>
              <w:t>总计</w:t>
            </w:r>
          </w:p>
        </w:tc>
        <w:tc>
          <w:tcPr>
            <w:tcW w:w="1425" w:type="dxa"/>
            <w:shd w:val="clear" w:color="auto" w:fill="FBE4D5" w:themeFill="accent2" w:themeFillTint="33"/>
            <w:vAlign w:val="center"/>
          </w:tcPr>
          <w:p>
            <w:pPr>
              <w:jc w:val="center"/>
              <w:rPr>
                <w:rFonts w:asciiTheme="minorEastAsia" w:hAnsiTheme="minorEastAsia"/>
                <w:b/>
                <w:sz w:val="18"/>
                <w:szCs w:val="18"/>
              </w:rPr>
            </w:pPr>
            <w:r>
              <w:rPr>
                <w:rFonts w:hint="eastAsia" w:asciiTheme="minorEastAsia" w:hAnsiTheme="minorEastAsia"/>
                <w:b/>
                <w:sz w:val="18"/>
                <w:szCs w:val="18"/>
              </w:rPr>
              <w:t>316</w:t>
            </w:r>
          </w:p>
        </w:tc>
        <w:tc>
          <w:tcPr>
            <w:tcW w:w="1258" w:type="dxa"/>
            <w:shd w:val="clear" w:color="auto" w:fill="FBE4D5" w:themeFill="accent2" w:themeFillTint="33"/>
            <w:vAlign w:val="center"/>
          </w:tcPr>
          <w:p>
            <w:pPr>
              <w:jc w:val="center"/>
              <w:rPr>
                <w:rFonts w:asciiTheme="minorEastAsia" w:hAnsiTheme="minorEastAsia"/>
                <w:b/>
                <w:sz w:val="18"/>
                <w:szCs w:val="18"/>
              </w:rPr>
            </w:pPr>
            <w:r>
              <w:rPr>
                <w:rFonts w:hint="eastAsia" w:asciiTheme="minorEastAsia" w:hAnsiTheme="minorEastAsia"/>
                <w:b/>
                <w:sz w:val="18"/>
                <w:szCs w:val="18"/>
              </w:rPr>
              <w:t>288</w:t>
            </w:r>
          </w:p>
        </w:tc>
        <w:tc>
          <w:tcPr>
            <w:tcW w:w="1478" w:type="dxa"/>
            <w:shd w:val="clear" w:color="auto" w:fill="FBE4D5" w:themeFill="accent2" w:themeFillTint="33"/>
            <w:vAlign w:val="center"/>
          </w:tcPr>
          <w:p>
            <w:pPr>
              <w:jc w:val="center"/>
              <w:rPr>
                <w:rFonts w:asciiTheme="minorEastAsia" w:hAnsiTheme="minorEastAsia"/>
                <w:b/>
                <w:sz w:val="18"/>
                <w:szCs w:val="18"/>
              </w:rPr>
            </w:pPr>
            <w:r>
              <w:rPr>
                <w:rFonts w:hint="eastAsia" w:asciiTheme="minorEastAsia" w:hAnsiTheme="minorEastAsia"/>
                <w:b/>
                <w:sz w:val="18"/>
                <w:szCs w:val="18"/>
              </w:rPr>
              <w:t>91.14</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restart"/>
            <w:shd w:val="clear" w:color="auto" w:fill="FBE4D5" w:themeFill="accent2" w:themeFillTint="33"/>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数学与统计学院</w:t>
            </w:r>
          </w:p>
        </w:tc>
        <w:tc>
          <w:tcPr>
            <w:tcW w:w="1860" w:type="dxa"/>
            <w:vAlign w:val="center"/>
          </w:tcPr>
          <w:p>
            <w:pPr>
              <w:jc w:val="center"/>
              <w:rPr>
                <w:rFonts w:asciiTheme="minorEastAsia" w:hAnsiTheme="minorEastAsia"/>
                <w:sz w:val="18"/>
                <w:szCs w:val="18"/>
              </w:rPr>
            </w:pPr>
            <w:r>
              <w:rPr>
                <w:rFonts w:hint="eastAsia" w:asciiTheme="minorEastAsia" w:hAnsiTheme="minorEastAsia"/>
                <w:sz w:val="18"/>
                <w:szCs w:val="18"/>
              </w:rPr>
              <w:t>数学与应用数学</w:t>
            </w:r>
          </w:p>
        </w:tc>
        <w:tc>
          <w:tcPr>
            <w:tcW w:w="1425" w:type="dxa"/>
            <w:vAlign w:val="center"/>
          </w:tcPr>
          <w:p>
            <w:pPr>
              <w:jc w:val="center"/>
              <w:rPr>
                <w:rFonts w:asciiTheme="minorEastAsia" w:hAnsiTheme="minorEastAsia"/>
                <w:sz w:val="18"/>
                <w:szCs w:val="18"/>
              </w:rPr>
            </w:pPr>
            <w:r>
              <w:rPr>
                <w:rFonts w:hint="eastAsia" w:asciiTheme="minorEastAsia" w:hAnsiTheme="minorEastAsia"/>
                <w:sz w:val="18"/>
                <w:szCs w:val="18"/>
              </w:rPr>
              <w:t>32</w:t>
            </w:r>
          </w:p>
        </w:tc>
        <w:tc>
          <w:tcPr>
            <w:tcW w:w="1258" w:type="dxa"/>
            <w:vAlign w:val="center"/>
          </w:tcPr>
          <w:p>
            <w:pPr>
              <w:jc w:val="center"/>
              <w:rPr>
                <w:rFonts w:asciiTheme="minorEastAsia" w:hAnsiTheme="minorEastAsia"/>
                <w:sz w:val="18"/>
                <w:szCs w:val="18"/>
              </w:rPr>
            </w:pPr>
            <w:r>
              <w:rPr>
                <w:rFonts w:hint="eastAsia" w:asciiTheme="minorEastAsia" w:hAnsiTheme="minorEastAsia"/>
                <w:sz w:val="18"/>
                <w:szCs w:val="18"/>
              </w:rPr>
              <w:t>32</w:t>
            </w:r>
          </w:p>
        </w:tc>
        <w:tc>
          <w:tcPr>
            <w:tcW w:w="1478" w:type="dxa"/>
            <w:vAlign w:val="center"/>
          </w:tcPr>
          <w:p>
            <w:pPr>
              <w:jc w:val="center"/>
              <w:rPr>
                <w:rFonts w:asciiTheme="minorEastAsia" w:hAnsiTheme="minorEastAsia"/>
                <w:sz w:val="18"/>
                <w:szCs w:val="18"/>
              </w:rPr>
            </w:pPr>
            <w:r>
              <w:rPr>
                <w:rFonts w:hint="eastAsia" w:asciiTheme="minorEastAsia" w:hAnsiTheme="minorEastAsia"/>
                <w:sz w:val="18"/>
                <w:szCs w:val="18"/>
              </w:rPr>
              <w:t>100.00</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continue"/>
            <w:shd w:val="clear" w:color="auto" w:fill="FBE4D5" w:themeFill="accent2" w:themeFillTint="33"/>
            <w:vAlign w:val="center"/>
          </w:tcPr>
          <w:p>
            <w:pPr>
              <w:jc w:val="center"/>
              <w:rPr>
                <w:rFonts w:asciiTheme="minorEastAsia" w:hAnsiTheme="minorEastAsia"/>
                <w:b w:val="0"/>
                <w:bCs/>
                <w:sz w:val="18"/>
                <w:szCs w:val="18"/>
              </w:rPr>
            </w:pPr>
          </w:p>
        </w:tc>
        <w:tc>
          <w:tcPr>
            <w:tcW w:w="1860"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统计学</w:t>
            </w:r>
          </w:p>
        </w:tc>
        <w:tc>
          <w:tcPr>
            <w:tcW w:w="1425"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35</w:t>
            </w:r>
          </w:p>
        </w:tc>
        <w:tc>
          <w:tcPr>
            <w:tcW w:w="125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35</w:t>
            </w:r>
          </w:p>
        </w:tc>
        <w:tc>
          <w:tcPr>
            <w:tcW w:w="147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100.00</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continue"/>
            <w:shd w:val="clear" w:color="auto" w:fill="FBE4D5" w:themeFill="accent2" w:themeFillTint="33"/>
            <w:vAlign w:val="center"/>
          </w:tcPr>
          <w:p>
            <w:pPr>
              <w:jc w:val="center"/>
              <w:rPr>
                <w:rFonts w:asciiTheme="minorEastAsia" w:hAnsiTheme="minorEastAsia"/>
                <w:b w:val="0"/>
                <w:bCs/>
                <w:sz w:val="18"/>
                <w:szCs w:val="18"/>
              </w:rPr>
            </w:pPr>
          </w:p>
        </w:tc>
        <w:tc>
          <w:tcPr>
            <w:tcW w:w="1860" w:type="dxa"/>
            <w:vAlign w:val="center"/>
          </w:tcPr>
          <w:p>
            <w:pPr>
              <w:jc w:val="center"/>
              <w:rPr>
                <w:rFonts w:asciiTheme="minorEastAsia" w:hAnsiTheme="minorEastAsia"/>
                <w:sz w:val="18"/>
                <w:szCs w:val="18"/>
              </w:rPr>
            </w:pPr>
            <w:r>
              <w:rPr>
                <w:rFonts w:hint="eastAsia" w:asciiTheme="minorEastAsia" w:hAnsiTheme="minorEastAsia"/>
                <w:sz w:val="18"/>
                <w:szCs w:val="18"/>
              </w:rPr>
              <w:t>信息与计算科学</w:t>
            </w:r>
          </w:p>
        </w:tc>
        <w:tc>
          <w:tcPr>
            <w:tcW w:w="1425" w:type="dxa"/>
            <w:vAlign w:val="center"/>
          </w:tcPr>
          <w:p>
            <w:pPr>
              <w:jc w:val="center"/>
              <w:rPr>
                <w:rFonts w:asciiTheme="minorEastAsia" w:hAnsiTheme="minorEastAsia"/>
                <w:sz w:val="18"/>
                <w:szCs w:val="18"/>
              </w:rPr>
            </w:pPr>
            <w:r>
              <w:rPr>
                <w:rFonts w:hint="eastAsia" w:asciiTheme="minorEastAsia" w:hAnsiTheme="minorEastAsia"/>
                <w:sz w:val="18"/>
                <w:szCs w:val="18"/>
              </w:rPr>
              <w:t>26</w:t>
            </w:r>
          </w:p>
        </w:tc>
        <w:tc>
          <w:tcPr>
            <w:tcW w:w="1258" w:type="dxa"/>
            <w:vAlign w:val="center"/>
          </w:tcPr>
          <w:p>
            <w:pPr>
              <w:jc w:val="center"/>
              <w:rPr>
                <w:rFonts w:asciiTheme="minorEastAsia" w:hAnsiTheme="minorEastAsia"/>
                <w:sz w:val="18"/>
                <w:szCs w:val="18"/>
              </w:rPr>
            </w:pPr>
            <w:r>
              <w:rPr>
                <w:rFonts w:hint="eastAsia" w:asciiTheme="minorEastAsia" w:hAnsiTheme="minorEastAsia"/>
                <w:sz w:val="18"/>
                <w:szCs w:val="18"/>
              </w:rPr>
              <w:t>26</w:t>
            </w:r>
          </w:p>
        </w:tc>
        <w:tc>
          <w:tcPr>
            <w:tcW w:w="1478" w:type="dxa"/>
            <w:vAlign w:val="center"/>
          </w:tcPr>
          <w:p>
            <w:pPr>
              <w:jc w:val="center"/>
              <w:rPr>
                <w:rFonts w:asciiTheme="minorEastAsia" w:hAnsiTheme="minorEastAsia"/>
                <w:sz w:val="18"/>
                <w:szCs w:val="18"/>
              </w:rPr>
            </w:pPr>
            <w:r>
              <w:rPr>
                <w:rFonts w:hint="eastAsia" w:asciiTheme="minorEastAsia" w:hAnsiTheme="minorEastAsia"/>
                <w:sz w:val="18"/>
                <w:szCs w:val="18"/>
              </w:rPr>
              <w:t>100.00</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continue"/>
            <w:shd w:val="clear" w:color="auto" w:fill="FBE4D5" w:themeFill="accent2" w:themeFillTint="33"/>
            <w:vAlign w:val="center"/>
          </w:tcPr>
          <w:p>
            <w:pPr>
              <w:jc w:val="center"/>
              <w:rPr>
                <w:rFonts w:asciiTheme="minorEastAsia" w:hAnsiTheme="minorEastAsia"/>
                <w:b w:val="0"/>
                <w:bCs/>
                <w:sz w:val="18"/>
                <w:szCs w:val="18"/>
              </w:rPr>
            </w:pPr>
          </w:p>
        </w:tc>
        <w:tc>
          <w:tcPr>
            <w:tcW w:w="1860" w:type="dxa"/>
            <w:shd w:val="clear" w:color="auto" w:fill="FBE4D5" w:themeFill="accent2" w:themeFillTint="33"/>
            <w:vAlign w:val="center"/>
          </w:tcPr>
          <w:p>
            <w:pPr>
              <w:jc w:val="center"/>
              <w:rPr>
                <w:rFonts w:asciiTheme="minorEastAsia" w:hAnsiTheme="minorEastAsia"/>
                <w:b/>
                <w:sz w:val="18"/>
                <w:szCs w:val="18"/>
              </w:rPr>
            </w:pPr>
            <w:r>
              <w:rPr>
                <w:rFonts w:hint="eastAsia" w:asciiTheme="minorEastAsia" w:hAnsiTheme="minorEastAsia"/>
                <w:b/>
                <w:sz w:val="18"/>
                <w:szCs w:val="18"/>
              </w:rPr>
              <w:t>总计</w:t>
            </w:r>
          </w:p>
        </w:tc>
        <w:tc>
          <w:tcPr>
            <w:tcW w:w="1425" w:type="dxa"/>
            <w:shd w:val="clear" w:color="auto" w:fill="FBE4D5" w:themeFill="accent2" w:themeFillTint="33"/>
            <w:vAlign w:val="center"/>
          </w:tcPr>
          <w:p>
            <w:pPr>
              <w:jc w:val="center"/>
              <w:rPr>
                <w:rFonts w:asciiTheme="minorEastAsia" w:hAnsiTheme="minorEastAsia"/>
                <w:b/>
                <w:sz w:val="18"/>
                <w:szCs w:val="18"/>
              </w:rPr>
            </w:pPr>
            <w:r>
              <w:rPr>
                <w:rFonts w:hint="eastAsia" w:asciiTheme="minorEastAsia" w:hAnsiTheme="minorEastAsia"/>
                <w:b/>
                <w:sz w:val="18"/>
                <w:szCs w:val="18"/>
              </w:rPr>
              <w:t>93</w:t>
            </w:r>
          </w:p>
        </w:tc>
        <w:tc>
          <w:tcPr>
            <w:tcW w:w="1258" w:type="dxa"/>
            <w:shd w:val="clear" w:color="auto" w:fill="FBE4D5" w:themeFill="accent2" w:themeFillTint="33"/>
            <w:vAlign w:val="center"/>
          </w:tcPr>
          <w:p>
            <w:pPr>
              <w:jc w:val="center"/>
              <w:rPr>
                <w:rFonts w:asciiTheme="minorEastAsia" w:hAnsiTheme="minorEastAsia"/>
                <w:b/>
                <w:sz w:val="18"/>
                <w:szCs w:val="18"/>
              </w:rPr>
            </w:pPr>
            <w:r>
              <w:rPr>
                <w:rFonts w:hint="eastAsia" w:asciiTheme="minorEastAsia" w:hAnsiTheme="minorEastAsia"/>
                <w:b/>
                <w:sz w:val="18"/>
                <w:szCs w:val="18"/>
              </w:rPr>
              <w:t>93</w:t>
            </w:r>
          </w:p>
        </w:tc>
        <w:tc>
          <w:tcPr>
            <w:tcW w:w="1478" w:type="dxa"/>
            <w:shd w:val="clear" w:color="auto" w:fill="FBE4D5" w:themeFill="accent2" w:themeFillTint="33"/>
            <w:vAlign w:val="center"/>
          </w:tcPr>
          <w:p>
            <w:pPr>
              <w:jc w:val="center"/>
              <w:rPr>
                <w:rFonts w:asciiTheme="minorEastAsia" w:hAnsiTheme="minorEastAsia"/>
                <w:b/>
                <w:sz w:val="18"/>
                <w:szCs w:val="18"/>
              </w:rPr>
            </w:pPr>
            <w:r>
              <w:rPr>
                <w:rFonts w:hint="eastAsia" w:asciiTheme="minorEastAsia" w:hAnsiTheme="minorEastAsia"/>
                <w:b/>
                <w:sz w:val="18"/>
                <w:szCs w:val="18"/>
              </w:rPr>
              <w:t>100.00</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restart"/>
            <w:shd w:val="clear" w:color="auto" w:fill="FBE4D5" w:themeFill="accent2" w:themeFillTint="33"/>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外国语学院</w:t>
            </w:r>
          </w:p>
        </w:tc>
        <w:tc>
          <w:tcPr>
            <w:tcW w:w="1860" w:type="dxa"/>
            <w:vAlign w:val="center"/>
          </w:tcPr>
          <w:p>
            <w:pPr>
              <w:jc w:val="center"/>
              <w:rPr>
                <w:rFonts w:asciiTheme="minorEastAsia" w:hAnsiTheme="minorEastAsia"/>
                <w:sz w:val="18"/>
                <w:szCs w:val="18"/>
              </w:rPr>
            </w:pPr>
            <w:r>
              <w:rPr>
                <w:rFonts w:hint="eastAsia" w:asciiTheme="minorEastAsia" w:hAnsiTheme="minorEastAsia"/>
                <w:sz w:val="18"/>
                <w:szCs w:val="18"/>
              </w:rPr>
              <w:t>商务英语</w:t>
            </w:r>
          </w:p>
        </w:tc>
        <w:tc>
          <w:tcPr>
            <w:tcW w:w="1425" w:type="dxa"/>
            <w:vAlign w:val="center"/>
          </w:tcPr>
          <w:p>
            <w:pPr>
              <w:jc w:val="center"/>
              <w:rPr>
                <w:rFonts w:asciiTheme="minorEastAsia" w:hAnsiTheme="minorEastAsia"/>
                <w:sz w:val="18"/>
                <w:szCs w:val="18"/>
              </w:rPr>
            </w:pPr>
            <w:r>
              <w:rPr>
                <w:rFonts w:hint="eastAsia" w:asciiTheme="minorEastAsia" w:hAnsiTheme="minorEastAsia"/>
                <w:sz w:val="18"/>
                <w:szCs w:val="18"/>
              </w:rPr>
              <w:t>64</w:t>
            </w:r>
          </w:p>
        </w:tc>
        <w:tc>
          <w:tcPr>
            <w:tcW w:w="1258" w:type="dxa"/>
            <w:vAlign w:val="center"/>
          </w:tcPr>
          <w:p>
            <w:pPr>
              <w:jc w:val="center"/>
              <w:rPr>
                <w:rFonts w:asciiTheme="minorEastAsia" w:hAnsiTheme="minorEastAsia"/>
                <w:sz w:val="18"/>
                <w:szCs w:val="18"/>
              </w:rPr>
            </w:pPr>
            <w:r>
              <w:rPr>
                <w:rFonts w:hint="eastAsia" w:asciiTheme="minorEastAsia" w:hAnsiTheme="minorEastAsia"/>
                <w:sz w:val="18"/>
                <w:szCs w:val="18"/>
              </w:rPr>
              <w:t>61</w:t>
            </w:r>
          </w:p>
        </w:tc>
        <w:tc>
          <w:tcPr>
            <w:tcW w:w="1478" w:type="dxa"/>
            <w:vAlign w:val="center"/>
          </w:tcPr>
          <w:p>
            <w:pPr>
              <w:jc w:val="center"/>
              <w:rPr>
                <w:rFonts w:asciiTheme="minorEastAsia" w:hAnsiTheme="minorEastAsia"/>
                <w:sz w:val="18"/>
                <w:szCs w:val="18"/>
              </w:rPr>
            </w:pPr>
            <w:r>
              <w:rPr>
                <w:rFonts w:hint="eastAsia" w:asciiTheme="minorEastAsia" w:hAnsiTheme="minorEastAsia"/>
                <w:sz w:val="18"/>
                <w:szCs w:val="18"/>
              </w:rPr>
              <w:t>95.31</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continue"/>
            <w:shd w:val="clear" w:color="auto" w:fill="FBE4D5" w:themeFill="accent2" w:themeFillTint="33"/>
            <w:vAlign w:val="center"/>
          </w:tcPr>
          <w:p>
            <w:pPr>
              <w:jc w:val="center"/>
              <w:rPr>
                <w:rFonts w:asciiTheme="minorEastAsia" w:hAnsiTheme="minorEastAsia"/>
                <w:b w:val="0"/>
                <w:bCs/>
                <w:sz w:val="18"/>
                <w:szCs w:val="18"/>
              </w:rPr>
            </w:pPr>
          </w:p>
        </w:tc>
        <w:tc>
          <w:tcPr>
            <w:tcW w:w="1860"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英语</w:t>
            </w:r>
          </w:p>
        </w:tc>
        <w:tc>
          <w:tcPr>
            <w:tcW w:w="1425"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105</w:t>
            </w:r>
          </w:p>
        </w:tc>
        <w:tc>
          <w:tcPr>
            <w:tcW w:w="125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98</w:t>
            </w:r>
          </w:p>
        </w:tc>
        <w:tc>
          <w:tcPr>
            <w:tcW w:w="147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93.33</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continue"/>
            <w:shd w:val="clear" w:color="auto" w:fill="FBE4D5" w:themeFill="accent2" w:themeFillTint="33"/>
            <w:vAlign w:val="center"/>
          </w:tcPr>
          <w:p>
            <w:pPr>
              <w:jc w:val="center"/>
              <w:rPr>
                <w:rFonts w:asciiTheme="minorEastAsia" w:hAnsiTheme="minorEastAsia"/>
                <w:b w:val="0"/>
                <w:bCs/>
                <w:sz w:val="18"/>
                <w:szCs w:val="18"/>
              </w:rPr>
            </w:pPr>
          </w:p>
        </w:tc>
        <w:tc>
          <w:tcPr>
            <w:tcW w:w="1860" w:type="dxa"/>
            <w:vAlign w:val="center"/>
          </w:tcPr>
          <w:p>
            <w:pPr>
              <w:jc w:val="center"/>
              <w:rPr>
                <w:rFonts w:asciiTheme="minorEastAsia" w:hAnsiTheme="minorEastAsia"/>
                <w:b/>
                <w:sz w:val="18"/>
                <w:szCs w:val="18"/>
              </w:rPr>
            </w:pPr>
            <w:r>
              <w:rPr>
                <w:rFonts w:hint="eastAsia" w:asciiTheme="minorEastAsia" w:hAnsiTheme="minorEastAsia"/>
                <w:b/>
                <w:sz w:val="18"/>
                <w:szCs w:val="18"/>
              </w:rPr>
              <w:t>总计</w:t>
            </w:r>
          </w:p>
        </w:tc>
        <w:tc>
          <w:tcPr>
            <w:tcW w:w="1425" w:type="dxa"/>
            <w:vAlign w:val="center"/>
          </w:tcPr>
          <w:p>
            <w:pPr>
              <w:jc w:val="center"/>
              <w:rPr>
                <w:rFonts w:asciiTheme="minorEastAsia" w:hAnsiTheme="minorEastAsia"/>
                <w:b/>
                <w:sz w:val="18"/>
                <w:szCs w:val="18"/>
              </w:rPr>
            </w:pPr>
            <w:r>
              <w:rPr>
                <w:rFonts w:hint="eastAsia" w:asciiTheme="minorEastAsia" w:hAnsiTheme="minorEastAsia"/>
                <w:b/>
                <w:sz w:val="18"/>
                <w:szCs w:val="18"/>
              </w:rPr>
              <w:t>169</w:t>
            </w:r>
          </w:p>
        </w:tc>
        <w:tc>
          <w:tcPr>
            <w:tcW w:w="1258" w:type="dxa"/>
            <w:vAlign w:val="center"/>
          </w:tcPr>
          <w:p>
            <w:pPr>
              <w:jc w:val="center"/>
              <w:rPr>
                <w:rFonts w:asciiTheme="minorEastAsia" w:hAnsiTheme="minorEastAsia"/>
                <w:b/>
                <w:sz w:val="18"/>
                <w:szCs w:val="18"/>
              </w:rPr>
            </w:pPr>
            <w:r>
              <w:rPr>
                <w:rFonts w:hint="eastAsia" w:asciiTheme="minorEastAsia" w:hAnsiTheme="minorEastAsia"/>
                <w:b/>
                <w:sz w:val="18"/>
                <w:szCs w:val="18"/>
              </w:rPr>
              <w:t>159</w:t>
            </w:r>
          </w:p>
        </w:tc>
        <w:tc>
          <w:tcPr>
            <w:tcW w:w="1478" w:type="dxa"/>
            <w:vAlign w:val="center"/>
          </w:tcPr>
          <w:p>
            <w:pPr>
              <w:jc w:val="center"/>
              <w:rPr>
                <w:rFonts w:asciiTheme="minorEastAsia" w:hAnsiTheme="minorEastAsia"/>
                <w:b/>
                <w:sz w:val="18"/>
                <w:szCs w:val="18"/>
              </w:rPr>
            </w:pPr>
            <w:r>
              <w:rPr>
                <w:rFonts w:hint="eastAsia" w:asciiTheme="minorEastAsia" w:hAnsiTheme="minorEastAsia"/>
                <w:b/>
                <w:sz w:val="18"/>
                <w:szCs w:val="18"/>
              </w:rPr>
              <w:t>94.08</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restart"/>
            <w:shd w:val="clear" w:color="auto" w:fill="FBE4D5" w:themeFill="accent2" w:themeFillTint="33"/>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文学与新闻传播学院</w:t>
            </w:r>
          </w:p>
        </w:tc>
        <w:tc>
          <w:tcPr>
            <w:tcW w:w="1860"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编辑出版学</w:t>
            </w:r>
          </w:p>
        </w:tc>
        <w:tc>
          <w:tcPr>
            <w:tcW w:w="1425"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33</w:t>
            </w:r>
          </w:p>
        </w:tc>
        <w:tc>
          <w:tcPr>
            <w:tcW w:w="125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32</w:t>
            </w:r>
          </w:p>
        </w:tc>
        <w:tc>
          <w:tcPr>
            <w:tcW w:w="147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96.97</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continue"/>
            <w:shd w:val="clear" w:color="auto" w:fill="FBE4D5" w:themeFill="accent2" w:themeFillTint="33"/>
            <w:vAlign w:val="center"/>
          </w:tcPr>
          <w:p>
            <w:pPr>
              <w:jc w:val="center"/>
              <w:rPr>
                <w:rFonts w:asciiTheme="minorEastAsia" w:hAnsiTheme="minorEastAsia"/>
                <w:b/>
                <w:bCs/>
                <w:sz w:val="18"/>
                <w:szCs w:val="18"/>
              </w:rPr>
            </w:pPr>
          </w:p>
        </w:tc>
        <w:tc>
          <w:tcPr>
            <w:tcW w:w="1860" w:type="dxa"/>
            <w:vAlign w:val="center"/>
          </w:tcPr>
          <w:p>
            <w:pPr>
              <w:jc w:val="center"/>
              <w:rPr>
                <w:rFonts w:asciiTheme="minorEastAsia" w:hAnsiTheme="minorEastAsia"/>
                <w:sz w:val="18"/>
                <w:szCs w:val="18"/>
              </w:rPr>
            </w:pPr>
            <w:r>
              <w:rPr>
                <w:rFonts w:hint="eastAsia" w:asciiTheme="minorEastAsia" w:hAnsiTheme="minorEastAsia"/>
                <w:sz w:val="18"/>
                <w:szCs w:val="18"/>
              </w:rPr>
              <w:t>广告学</w:t>
            </w:r>
          </w:p>
        </w:tc>
        <w:tc>
          <w:tcPr>
            <w:tcW w:w="1425" w:type="dxa"/>
            <w:vAlign w:val="center"/>
          </w:tcPr>
          <w:p>
            <w:pPr>
              <w:jc w:val="center"/>
              <w:rPr>
                <w:rFonts w:asciiTheme="minorEastAsia" w:hAnsiTheme="minorEastAsia"/>
                <w:sz w:val="18"/>
                <w:szCs w:val="18"/>
              </w:rPr>
            </w:pPr>
            <w:r>
              <w:rPr>
                <w:rFonts w:hint="eastAsia" w:asciiTheme="minorEastAsia" w:hAnsiTheme="minorEastAsia"/>
                <w:sz w:val="18"/>
                <w:szCs w:val="18"/>
              </w:rPr>
              <w:t>32</w:t>
            </w:r>
          </w:p>
        </w:tc>
        <w:tc>
          <w:tcPr>
            <w:tcW w:w="1258" w:type="dxa"/>
            <w:vAlign w:val="center"/>
          </w:tcPr>
          <w:p>
            <w:pPr>
              <w:jc w:val="center"/>
              <w:rPr>
                <w:rFonts w:asciiTheme="minorEastAsia" w:hAnsiTheme="minorEastAsia"/>
                <w:sz w:val="18"/>
                <w:szCs w:val="18"/>
              </w:rPr>
            </w:pPr>
            <w:r>
              <w:rPr>
                <w:rFonts w:hint="eastAsia" w:asciiTheme="minorEastAsia" w:hAnsiTheme="minorEastAsia"/>
                <w:sz w:val="18"/>
                <w:szCs w:val="18"/>
              </w:rPr>
              <w:t>32</w:t>
            </w:r>
          </w:p>
        </w:tc>
        <w:tc>
          <w:tcPr>
            <w:tcW w:w="1478" w:type="dxa"/>
            <w:vAlign w:val="center"/>
          </w:tcPr>
          <w:p>
            <w:pPr>
              <w:jc w:val="center"/>
              <w:rPr>
                <w:rFonts w:asciiTheme="minorEastAsia" w:hAnsiTheme="minorEastAsia"/>
                <w:sz w:val="18"/>
                <w:szCs w:val="18"/>
              </w:rPr>
            </w:pPr>
            <w:r>
              <w:rPr>
                <w:rFonts w:hint="eastAsia" w:asciiTheme="minorEastAsia" w:hAnsiTheme="minorEastAsia"/>
                <w:sz w:val="18"/>
                <w:szCs w:val="18"/>
              </w:rPr>
              <w:t>100.00</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continue"/>
            <w:shd w:val="clear" w:color="auto" w:fill="FBE4D5" w:themeFill="accent2" w:themeFillTint="33"/>
            <w:vAlign w:val="center"/>
          </w:tcPr>
          <w:p>
            <w:pPr>
              <w:jc w:val="center"/>
              <w:rPr>
                <w:rFonts w:asciiTheme="minorEastAsia" w:hAnsiTheme="minorEastAsia"/>
                <w:b/>
                <w:bCs/>
                <w:sz w:val="18"/>
                <w:szCs w:val="18"/>
              </w:rPr>
            </w:pPr>
          </w:p>
        </w:tc>
        <w:tc>
          <w:tcPr>
            <w:tcW w:w="1860"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汉语言文学</w:t>
            </w:r>
          </w:p>
        </w:tc>
        <w:tc>
          <w:tcPr>
            <w:tcW w:w="1425"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66</w:t>
            </w:r>
          </w:p>
        </w:tc>
        <w:tc>
          <w:tcPr>
            <w:tcW w:w="125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64</w:t>
            </w:r>
          </w:p>
        </w:tc>
        <w:tc>
          <w:tcPr>
            <w:tcW w:w="1478"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96.97</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275" w:type="dxa"/>
            <w:vMerge w:val="continue"/>
            <w:shd w:val="clear" w:color="auto" w:fill="FBE4D5" w:themeFill="accent2" w:themeFillTint="33"/>
            <w:vAlign w:val="center"/>
          </w:tcPr>
          <w:p>
            <w:pPr>
              <w:jc w:val="center"/>
              <w:rPr>
                <w:rFonts w:asciiTheme="minorEastAsia" w:hAnsiTheme="minorEastAsia"/>
                <w:b/>
                <w:bCs/>
                <w:sz w:val="18"/>
                <w:szCs w:val="18"/>
              </w:rPr>
            </w:pPr>
          </w:p>
        </w:tc>
        <w:tc>
          <w:tcPr>
            <w:tcW w:w="1860" w:type="dxa"/>
            <w:vAlign w:val="center"/>
          </w:tcPr>
          <w:p>
            <w:pPr>
              <w:jc w:val="center"/>
              <w:rPr>
                <w:rFonts w:asciiTheme="minorEastAsia" w:hAnsiTheme="minorEastAsia"/>
                <w:b/>
                <w:sz w:val="18"/>
                <w:szCs w:val="18"/>
              </w:rPr>
            </w:pPr>
            <w:r>
              <w:rPr>
                <w:rFonts w:hint="eastAsia" w:asciiTheme="minorEastAsia" w:hAnsiTheme="minorEastAsia"/>
                <w:b/>
                <w:sz w:val="18"/>
                <w:szCs w:val="18"/>
              </w:rPr>
              <w:t>总计</w:t>
            </w:r>
          </w:p>
        </w:tc>
        <w:tc>
          <w:tcPr>
            <w:tcW w:w="1425" w:type="dxa"/>
            <w:vAlign w:val="center"/>
          </w:tcPr>
          <w:p>
            <w:pPr>
              <w:jc w:val="center"/>
              <w:rPr>
                <w:rFonts w:asciiTheme="minorEastAsia" w:hAnsiTheme="minorEastAsia"/>
                <w:b/>
                <w:sz w:val="18"/>
                <w:szCs w:val="18"/>
              </w:rPr>
            </w:pPr>
            <w:r>
              <w:rPr>
                <w:rFonts w:hint="eastAsia" w:asciiTheme="minorEastAsia" w:hAnsiTheme="minorEastAsia"/>
                <w:b/>
                <w:sz w:val="18"/>
                <w:szCs w:val="18"/>
              </w:rPr>
              <w:t>131</w:t>
            </w:r>
          </w:p>
        </w:tc>
        <w:tc>
          <w:tcPr>
            <w:tcW w:w="1258" w:type="dxa"/>
            <w:vAlign w:val="center"/>
          </w:tcPr>
          <w:p>
            <w:pPr>
              <w:jc w:val="center"/>
              <w:rPr>
                <w:rFonts w:asciiTheme="minorEastAsia" w:hAnsiTheme="minorEastAsia"/>
                <w:b/>
                <w:sz w:val="18"/>
                <w:szCs w:val="18"/>
              </w:rPr>
            </w:pPr>
            <w:r>
              <w:rPr>
                <w:rFonts w:hint="eastAsia" w:asciiTheme="minorEastAsia" w:hAnsiTheme="minorEastAsia"/>
                <w:b/>
                <w:sz w:val="18"/>
                <w:szCs w:val="18"/>
              </w:rPr>
              <w:t>128</w:t>
            </w:r>
          </w:p>
        </w:tc>
        <w:tc>
          <w:tcPr>
            <w:tcW w:w="1478" w:type="dxa"/>
            <w:vAlign w:val="center"/>
          </w:tcPr>
          <w:p>
            <w:pPr>
              <w:jc w:val="center"/>
              <w:rPr>
                <w:rFonts w:asciiTheme="minorEastAsia" w:hAnsiTheme="minorEastAsia"/>
                <w:b/>
                <w:sz w:val="18"/>
                <w:szCs w:val="18"/>
              </w:rPr>
            </w:pPr>
            <w:r>
              <w:rPr>
                <w:rFonts w:hint="eastAsia" w:asciiTheme="minorEastAsia" w:hAnsiTheme="minorEastAsia"/>
                <w:b/>
                <w:sz w:val="18"/>
                <w:szCs w:val="18"/>
              </w:rPr>
              <w:t>97.71</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4135" w:type="dxa"/>
            <w:gridSpan w:val="2"/>
            <w:shd w:val="clear" w:color="auto" w:fill="FBE4D5" w:themeFill="accent2" w:themeFillTint="33"/>
            <w:vAlign w:val="center"/>
          </w:tcPr>
          <w:p>
            <w:pPr>
              <w:jc w:val="center"/>
              <w:rPr>
                <w:rFonts w:asciiTheme="minorEastAsia" w:hAnsiTheme="minorEastAsia"/>
                <w:b/>
                <w:bCs/>
                <w:sz w:val="18"/>
                <w:szCs w:val="18"/>
              </w:rPr>
            </w:pPr>
            <w:r>
              <w:rPr>
                <w:rFonts w:hint="eastAsia" w:asciiTheme="minorEastAsia" w:hAnsiTheme="minorEastAsia"/>
                <w:b/>
                <w:bCs/>
                <w:sz w:val="18"/>
                <w:szCs w:val="18"/>
              </w:rPr>
              <w:t>总计</w:t>
            </w:r>
          </w:p>
        </w:tc>
        <w:tc>
          <w:tcPr>
            <w:tcW w:w="1425" w:type="dxa"/>
            <w:shd w:val="clear" w:color="auto" w:fill="FBE4D5" w:themeFill="accent2" w:themeFillTint="33"/>
            <w:vAlign w:val="center"/>
          </w:tcPr>
          <w:p>
            <w:pPr>
              <w:jc w:val="center"/>
              <w:rPr>
                <w:rFonts w:asciiTheme="minorEastAsia" w:hAnsiTheme="minorEastAsia"/>
                <w:b/>
                <w:sz w:val="18"/>
                <w:szCs w:val="18"/>
              </w:rPr>
            </w:pPr>
            <w:r>
              <w:rPr>
                <w:rFonts w:hint="eastAsia" w:asciiTheme="minorEastAsia" w:hAnsiTheme="minorEastAsia"/>
                <w:b/>
                <w:sz w:val="18"/>
                <w:szCs w:val="18"/>
              </w:rPr>
              <w:t>3460</w:t>
            </w:r>
          </w:p>
        </w:tc>
        <w:tc>
          <w:tcPr>
            <w:tcW w:w="1258" w:type="dxa"/>
            <w:shd w:val="clear" w:color="auto" w:fill="FBE4D5" w:themeFill="accent2" w:themeFillTint="33"/>
            <w:vAlign w:val="center"/>
          </w:tcPr>
          <w:p>
            <w:pPr>
              <w:widowControl/>
              <w:jc w:val="center"/>
              <w:rPr>
                <w:rFonts w:asciiTheme="minorEastAsia" w:hAnsiTheme="minorEastAsia"/>
                <w:b/>
                <w:bCs/>
                <w:color w:val="000000"/>
                <w:sz w:val="18"/>
                <w:szCs w:val="18"/>
              </w:rPr>
            </w:pPr>
            <w:r>
              <w:rPr>
                <w:rFonts w:hint="eastAsia" w:asciiTheme="minorEastAsia" w:hAnsiTheme="minorEastAsia"/>
                <w:b/>
                <w:bCs/>
                <w:color w:val="000000"/>
                <w:sz w:val="18"/>
                <w:szCs w:val="18"/>
              </w:rPr>
              <w:t>3192</w:t>
            </w:r>
          </w:p>
        </w:tc>
        <w:tc>
          <w:tcPr>
            <w:tcW w:w="1478" w:type="dxa"/>
            <w:shd w:val="clear" w:color="auto" w:fill="FBE4D5" w:themeFill="accent2" w:themeFillTint="33"/>
            <w:vAlign w:val="center"/>
          </w:tcPr>
          <w:p>
            <w:pPr>
              <w:jc w:val="center"/>
              <w:rPr>
                <w:rFonts w:asciiTheme="minorEastAsia" w:hAnsiTheme="minorEastAsia"/>
                <w:b/>
                <w:bCs/>
                <w:color w:val="000000"/>
                <w:sz w:val="18"/>
                <w:szCs w:val="18"/>
              </w:rPr>
            </w:pPr>
            <w:r>
              <w:rPr>
                <w:rFonts w:hint="eastAsia" w:asciiTheme="minorEastAsia" w:hAnsiTheme="minorEastAsia"/>
                <w:b/>
                <w:bCs/>
                <w:color w:val="000000"/>
                <w:sz w:val="18"/>
                <w:szCs w:val="18"/>
              </w:rPr>
              <w:t>92.25</w:t>
            </w:r>
          </w:p>
        </w:tc>
      </w:tr>
    </w:tbl>
    <w:p>
      <w:pPr>
        <w:spacing w:before="156" w:after="156"/>
      </w:pPr>
    </w:p>
    <w:p>
      <w:pPr>
        <w:pStyle w:val="30"/>
        <w:spacing w:before="156" w:after="156"/>
      </w:pPr>
      <w:bookmarkStart w:id="41" w:name="_Toc469038314"/>
      <w:bookmarkStart w:id="42" w:name="_Toc471310917"/>
      <w:r>
        <w:rPr>
          <w:rFonts w:hint="eastAsia"/>
        </w:rPr>
        <w:t>（四）2016届</w:t>
      </w:r>
      <w:r>
        <w:t>就业</w:t>
      </w:r>
      <w:r>
        <w:rPr>
          <w:rFonts w:hint="eastAsia"/>
        </w:rPr>
        <w:t>困难生初次就业率</w:t>
      </w:r>
      <w:bookmarkEnd w:id="41"/>
      <w:bookmarkEnd w:id="42"/>
      <w:r>
        <w:rPr>
          <w:rFonts w:hint="eastAsia"/>
        </w:rPr>
        <w:tab/>
      </w:r>
    </w:p>
    <w:p>
      <w:pPr>
        <w:pStyle w:val="40"/>
      </w:pPr>
      <w:r>
        <w:rPr>
          <w:rFonts w:hint="eastAsia"/>
        </w:rPr>
        <w:t>学校2016届</w:t>
      </w:r>
      <w:r>
        <w:t>毕业生中非</w:t>
      </w:r>
      <w:r>
        <w:rPr>
          <w:rFonts w:hint="eastAsia"/>
        </w:rPr>
        <w:t>就业</w:t>
      </w:r>
      <w:r>
        <w:t>困难生</w:t>
      </w:r>
      <w:r>
        <w:rPr>
          <w:rFonts w:hint="eastAsia"/>
        </w:rPr>
        <w:t>就业率为92.08</w:t>
      </w:r>
      <w:r>
        <w:t>%，略低于总体就业率，其中专科非困难毕业生就业率略高于本科非困难生就业率。</w:t>
      </w:r>
      <w:r>
        <w:rPr>
          <w:rFonts w:hint="eastAsia"/>
        </w:rPr>
        <w:t>此外</w:t>
      </w:r>
      <w:r>
        <w:t>，</w:t>
      </w:r>
      <w:r>
        <w:rPr>
          <w:rFonts w:hint="eastAsia"/>
        </w:rPr>
        <w:t>经过</w:t>
      </w:r>
      <w:r>
        <w:t>学校一系列帮扶工作，</w:t>
      </w:r>
      <w:r>
        <w:rPr>
          <w:rFonts w:hint="eastAsia"/>
        </w:rPr>
        <w:t>2016届</w:t>
      </w:r>
      <w:r>
        <w:t>毕业生中的家庭困难和残疾、身体残疾及重灾区毕业生就业率均为</w:t>
      </w:r>
      <w:r>
        <w:rPr>
          <w:rFonts w:hint="eastAsia"/>
        </w:rPr>
        <w:t>100.00</w:t>
      </w:r>
      <w:r>
        <w:t>%，</w:t>
      </w:r>
      <w:r>
        <w:rPr>
          <w:rFonts w:hint="eastAsia"/>
        </w:rPr>
        <w:t>专科</w:t>
      </w:r>
      <w:r>
        <w:t>家庭经济困难</w:t>
      </w:r>
      <w:r>
        <w:rPr>
          <w:rFonts w:hint="eastAsia"/>
        </w:rPr>
        <w:t>生及</w:t>
      </w:r>
      <w:r>
        <w:t>专科就业期望过高生的就业率也为</w:t>
      </w:r>
      <w:r>
        <w:rPr>
          <w:rFonts w:hint="eastAsia"/>
        </w:rPr>
        <w:t>100.00</w:t>
      </w:r>
      <w:r>
        <w:t>%</w:t>
      </w:r>
      <w:r>
        <w:rPr>
          <w:rFonts w:hint="eastAsia"/>
        </w:rPr>
        <w:t>。</w:t>
      </w:r>
    </w:p>
    <w:p>
      <w:pPr>
        <w:pStyle w:val="40"/>
      </w:pPr>
      <w:r>
        <w:rPr>
          <w:rFonts w:hint="eastAsia"/>
        </w:rPr>
        <w:t>具体</w:t>
      </w:r>
      <w:r>
        <w:t>情况见图</w:t>
      </w:r>
      <w:r>
        <w:rPr>
          <w:rFonts w:hint="eastAsia"/>
        </w:rPr>
        <w:t>2</w:t>
      </w:r>
      <w:r>
        <w:t>-2。</w:t>
      </w:r>
    </w:p>
    <w:p>
      <w:pPr>
        <w:spacing w:before="156" w:after="156"/>
      </w:pPr>
      <w:r>
        <w:drawing>
          <wp:inline distT="0" distB="0" distL="0" distR="0">
            <wp:extent cx="5274310" cy="3390265"/>
            <wp:effectExtent l="0" t="0" r="2540" b="635"/>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8"/>
        <w:jc w:val="center"/>
        <w:rPr>
          <w:rFonts w:asciiTheme="minorEastAsia" w:hAnsiTheme="minorEastAsia" w:eastAsiaTheme="minorEastAsia"/>
          <w:sz w:val="18"/>
          <w:szCs w:val="18"/>
        </w:rPr>
      </w:pPr>
      <w:bookmarkStart w:id="43" w:name="_Toc470887047"/>
      <w:r>
        <w:rPr>
          <w:rFonts w:hint="eastAsia" w:asciiTheme="minorEastAsia" w:hAnsiTheme="minorEastAsia" w:eastAsiaTheme="minorEastAsia"/>
          <w:sz w:val="18"/>
          <w:szCs w:val="18"/>
        </w:rPr>
        <w:t>图2-</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图2-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2</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2016届毕业生</w:t>
      </w:r>
      <w:r>
        <w:rPr>
          <w:rFonts w:asciiTheme="minorEastAsia" w:hAnsiTheme="minorEastAsia" w:eastAsiaTheme="minorEastAsia"/>
          <w:sz w:val="18"/>
          <w:szCs w:val="18"/>
        </w:rPr>
        <w:t>不同学历</w:t>
      </w:r>
      <w:r>
        <w:rPr>
          <w:rFonts w:hint="eastAsia" w:asciiTheme="minorEastAsia" w:hAnsiTheme="minorEastAsia" w:eastAsiaTheme="minorEastAsia"/>
          <w:sz w:val="18"/>
          <w:szCs w:val="18"/>
        </w:rPr>
        <w:t>困难生</w:t>
      </w:r>
      <w:r>
        <w:rPr>
          <w:rFonts w:asciiTheme="minorEastAsia" w:hAnsiTheme="minorEastAsia" w:eastAsiaTheme="minorEastAsia"/>
          <w:sz w:val="18"/>
          <w:szCs w:val="18"/>
        </w:rPr>
        <w:t>初次就业率分布</w:t>
      </w:r>
      <w:bookmarkEnd w:id="43"/>
    </w:p>
    <w:p>
      <w:pPr>
        <w:rPr>
          <w:sz w:val="18"/>
          <w:szCs w:val="18"/>
        </w:rPr>
      </w:pPr>
      <w:r>
        <w:rPr>
          <w:rFonts w:hint="eastAsia"/>
          <w:sz w:val="18"/>
          <w:szCs w:val="18"/>
        </w:rPr>
        <w:t>备注</w:t>
      </w:r>
      <w:r>
        <w:rPr>
          <w:sz w:val="18"/>
          <w:szCs w:val="18"/>
        </w:rPr>
        <w:t>：</w:t>
      </w:r>
      <w:r>
        <w:rPr>
          <w:rFonts w:hint="eastAsia"/>
          <w:sz w:val="18"/>
          <w:szCs w:val="18"/>
        </w:rPr>
        <w:t>总计指的</w:t>
      </w:r>
      <w:r>
        <w:rPr>
          <w:sz w:val="18"/>
          <w:szCs w:val="18"/>
        </w:rPr>
        <w:t>是本科生</w:t>
      </w:r>
      <w:r>
        <w:rPr>
          <w:rFonts w:hint="eastAsia"/>
          <w:sz w:val="18"/>
          <w:szCs w:val="18"/>
        </w:rPr>
        <w:t>就业率</w:t>
      </w:r>
      <w:r>
        <w:rPr>
          <w:sz w:val="18"/>
          <w:szCs w:val="18"/>
        </w:rPr>
        <w:t>、专科生就业率及全体毕业生就业率。</w:t>
      </w:r>
    </w:p>
    <w:p>
      <w:pPr>
        <w:pStyle w:val="25"/>
        <w:spacing w:before="156" w:after="156"/>
      </w:pPr>
      <w:bookmarkStart w:id="44" w:name="_Toc471310918"/>
      <w:bookmarkStart w:id="45" w:name="_Toc469038315"/>
      <w:r>
        <w:rPr>
          <w:rFonts w:hint="eastAsia"/>
        </w:rPr>
        <w:t>二、毕业去向</w:t>
      </w:r>
      <w:bookmarkEnd w:id="44"/>
      <w:bookmarkEnd w:id="45"/>
      <w:r>
        <w:rPr>
          <w:rFonts w:hint="eastAsia"/>
        </w:rPr>
        <w:tab/>
      </w:r>
    </w:p>
    <w:p>
      <w:pPr>
        <w:pStyle w:val="40"/>
      </w:pPr>
      <w:r>
        <w:rPr>
          <w:rFonts w:hint="eastAsia"/>
        </w:rPr>
        <w:t>2016届</w:t>
      </w:r>
      <w:r>
        <w:t>毕业生就业去向以灵活就业为主</w:t>
      </w:r>
      <w:r>
        <w:rPr>
          <w:rFonts w:hint="eastAsia"/>
        </w:rPr>
        <w:t>，</w:t>
      </w:r>
      <w:r>
        <w:t>选择“</w:t>
      </w:r>
      <w:r>
        <w:rPr>
          <w:rFonts w:hint="eastAsia"/>
        </w:rPr>
        <w:t>灵活就业</w:t>
      </w:r>
      <w:r>
        <w:t>”</w:t>
      </w:r>
      <w:r>
        <w:rPr>
          <w:rFonts w:hint="eastAsia"/>
        </w:rPr>
        <w:t>的</w:t>
      </w:r>
      <w:r>
        <w:t>毕业生</w:t>
      </w:r>
      <w:r>
        <w:rPr>
          <w:rFonts w:hint="eastAsia"/>
        </w:rPr>
        <w:t>有</w:t>
      </w:r>
      <w:r>
        <w:t>2389</w:t>
      </w:r>
      <w:r>
        <w:rPr>
          <w:rFonts w:hint="eastAsia"/>
        </w:rPr>
        <w:t>人</w:t>
      </w:r>
      <w:r>
        <w:t>，</w:t>
      </w:r>
      <w:r>
        <w:rPr>
          <w:rFonts w:hint="eastAsia"/>
        </w:rPr>
        <w:t>还</w:t>
      </w:r>
      <w:r>
        <w:t>有</w:t>
      </w:r>
      <w:r>
        <w:rPr>
          <w:rFonts w:hint="eastAsia"/>
        </w:rPr>
        <w:t>47</w:t>
      </w:r>
      <w:r>
        <w:t>4</w:t>
      </w:r>
      <w:r>
        <w:rPr>
          <w:rFonts w:hint="eastAsia"/>
        </w:rPr>
        <w:t>人</w:t>
      </w:r>
      <w:r>
        <w:t>选择“</w:t>
      </w:r>
      <w:r>
        <w:rPr>
          <w:rFonts w:hint="eastAsia"/>
        </w:rPr>
        <w:t>就业</w:t>
      </w:r>
      <w:r>
        <w:t>”</w:t>
      </w:r>
      <w:r>
        <w:rPr>
          <w:rFonts w:hint="eastAsia"/>
        </w:rPr>
        <w:t>，201人</w:t>
      </w:r>
      <w:r>
        <w:t>选择“</w:t>
      </w:r>
      <w:r>
        <w:rPr>
          <w:rFonts w:hint="eastAsia"/>
        </w:rPr>
        <w:t>升学</w:t>
      </w:r>
      <w:r>
        <w:t>”</w:t>
      </w:r>
      <w:r>
        <w:rPr>
          <w:rFonts w:hint="eastAsia"/>
        </w:rPr>
        <w:t>，128人</w:t>
      </w:r>
      <w:r>
        <w:t>选择“</w:t>
      </w:r>
      <w:r>
        <w:rPr>
          <w:rFonts w:hint="eastAsia"/>
        </w:rPr>
        <w:t>出国</w:t>
      </w:r>
      <w:r>
        <w:t>”</w:t>
      </w:r>
      <w:r>
        <w:rPr>
          <w:rFonts w:hint="eastAsia"/>
        </w:rPr>
        <w:t>。此外，</w:t>
      </w:r>
      <w:r>
        <w:t>截止统计日期前，还有</w:t>
      </w:r>
      <w:r>
        <w:rPr>
          <w:rFonts w:hint="eastAsia"/>
        </w:rPr>
        <w:t>26</w:t>
      </w:r>
      <w:r>
        <w:t>8</w:t>
      </w:r>
      <w:r>
        <w:rPr>
          <w:rFonts w:hint="eastAsia"/>
        </w:rPr>
        <w:t>人</w:t>
      </w:r>
      <w:r>
        <w:t>处于“</w:t>
      </w:r>
      <w:r>
        <w:rPr>
          <w:rFonts w:hint="eastAsia"/>
        </w:rPr>
        <w:t>待就业</w:t>
      </w:r>
      <w:r>
        <w:t>”</w:t>
      </w:r>
      <w:r>
        <w:rPr>
          <w:rFonts w:hint="eastAsia"/>
        </w:rPr>
        <w:t>状态</w:t>
      </w:r>
      <w:r>
        <w:t>。</w:t>
      </w:r>
    </w:p>
    <w:p>
      <w:pPr>
        <w:spacing w:before="156" w:after="156"/>
        <w:jc w:val="center"/>
      </w:pPr>
      <w:r>
        <w:drawing>
          <wp:inline distT="0" distB="0" distL="0" distR="0">
            <wp:extent cx="4848225" cy="2257425"/>
            <wp:effectExtent l="0" t="0" r="9525" b="9525"/>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8"/>
        <w:jc w:val="center"/>
        <w:rPr>
          <w:rFonts w:asciiTheme="minorEastAsia" w:hAnsiTheme="minorEastAsia" w:eastAsiaTheme="minorEastAsia"/>
          <w:sz w:val="18"/>
          <w:szCs w:val="18"/>
        </w:rPr>
      </w:pPr>
      <w:bookmarkStart w:id="46" w:name="_Toc470887048"/>
      <w:r>
        <w:rPr>
          <w:rFonts w:hint="eastAsia" w:asciiTheme="minorEastAsia" w:hAnsiTheme="minorEastAsia" w:eastAsiaTheme="minorEastAsia"/>
          <w:sz w:val="18"/>
          <w:szCs w:val="18"/>
        </w:rPr>
        <w:t>图2-</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图2-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3</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2016届不同</w:t>
      </w:r>
      <w:r>
        <w:rPr>
          <w:rFonts w:asciiTheme="minorEastAsia" w:hAnsiTheme="minorEastAsia" w:eastAsiaTheme="minorEastAsia"/>
          <w:sz w:val="18"/>
          <w:szCs w:val="18"/>
        </w:rPr>
        <w:t>学历层次</w:t>
      </w:r>
      <w:r>
        <w:rPr>
          <w:rFonts w:hint="eastAsia" w:asciiTheme="minorEastAsia" w:hAnsiTheme="minorEastAsia" w:eastAsiaTheme="minorEastAsia"/>
          <w:sz w:val="18"/>
          <w:szCs w:val="18"/>
        </w:rPr>
        <w:t>毕业去向</w:t>
      </w:r>
      <w:r>
        <w:rPr>
          <w:rFonts w:asciiTheme="minorEastAsia" w:hAnsiTheme="minorEastAsia" w:eastAsiaTheme="minorEastAsia"/>
          <w:sz w:val="18"/>
          <w:szCs w:val="18"/>
        </w:rPr>
        <w:t>分布</w:t>
      </w:r>
      <w:bookmarkEnd w:id="46"/>
    </w:p>
    <w:p>
      <w:pPr>
        <w:pStyle w:val="25"/>
      </w:pPr>
      <w:bookmarkStart w:id="47" w:name="_Toc471310919"/>
      <w:bookmarkStart w:id="48" w:name="_Toc469038316"/>
      <w:r>
        <w:rPr>
          <w:rFonts w:hint="eastAsia"/>
        </w:rPr>
        <w:t>三、就业分布</w:t>
      </w:r>
      <w:bookmarkEnd w:id="47"/>
      <w:bookmarkEnd w:id="48"/>
      <w:r>
        <w:rPr>
          <w:rFonts w:hint="eastAsia"/>
        </w:rPr>
        <w:tab/>
      </w:r>
    </w:p>
    <w:p>
      <w:pPr>
        <w:pStyle w:val="30"/>
      </w:pPr>
      <w:bookmarkStart w:id="49" w:name="_Toc469038317"/>
      <w:bookmarkStart w:id="50" w:name="_Toc471310920"/>
      <w:r>
        <w:rPr>
          <w:rFonts w:hint="eastAsia"/>
        </w:rPr>
        <w:t>（一）2016届毕业生就业单位性质分布</w:t>
      </w:r>
      <w:bookmarkEnd w:id="49"/>
      <w:bookmarkEnd w:id="50"/>
      <w:r>
        <w:rPr>
          <w:rFonts w:hint="eastAsia"/>
        </w:rPr>
        <w:tab/>
      </w:r>
    </w:p>
    <w:p>
      <w:pPr>
        <w:pStyle w:val="33"/>
      </w:pPr>
      <w:bookmarkStart w:id="51" w:name="_Toc469038318"/>
      <w:r>
        <w:rPr>
          <w:rFonts w:hint="eastAsia"/>
        </w:rPr>
        <w:t>1.专科生</w:t>
      </w:r>
      <w:r>
        <w:t>就业单位性质</w:t>
      </w:r>
      <w:bookmarkEnd w:id="51"/>
    </w:p>
    <w:p>
      <w:pPr>
        <w:pStyle w:val="40"/>
      </w:pPr>
      <w:r>
        <w:rPr>
          <w:rFonts w:hint="eastAsia"/>
        </w:rPr>
        <w:t>根据</w:t>
      </w:r>
      <w:r>
        <w:t>统计数据，</w:t>
      </w:r>
      <w:r>
        <w:rPr>
          <w:rFonts w:hint="eastAsia"/>
        </w:rPr>
        <w:t>2016届</w:t>
      </w:r>
      <w:r>
        <w:t>专科毕业生就业单位性质以“</w:t>
      </w:r>
      <w:r>
        <w:rPr>
          <w:rFonts w:hint="eastAsia"/>
        </w:rPr>
        <w:t>其他企业</w:t>
      </w:r>
      <w:r>
        <w:t>”</w:t>
      </w:r>
      <w:r>
        <w:rPr>
          <w:rFonts w:hint="eastAsia"/>
        </w:rPr>
        <w:t>为主</w:t>
      </w:r>
      <w:r>
        <w:t>，占比</w:t>
      </w:r>
      <w:r>
        <w:rPr>
          <w:rFonts w:hint="eastAsia"/>
        </w:rPr>
        <w:t>51.32</w:t>
      </w:r>
      <w:r>
        <w:t>%；“</w:t>
      </w:r>
      <w:r>
        <w:rPr>
          <w:rFonts w:hint="eastAsia"/>
        </w:rPr>
        <w:t>出国</w:t>
      </w:r>
      <w:r>
        <w:t>、</w:t>
      </w:r>
      <w:r>
        <w:rPr>
          <w:rFonts w:hint="eastAsia"/>
        </w:rPr>
        <w:t>出境</w:t>
      </w:r>
      <w:r>
        <w:t>”</w:t>
      </w:r>
      <w:r>
        <w:rPr>
          <w:rFonts w:hint="eastAsia"/>
        </w:rPr>
        <w:t>居次</w:t>
      </w:r>
      <w:r>
        <w:t>，占比</w:t>
      </w:r>
      <w:r>
        <w:rPr>
          <w:rFonts w:hint="eastAsia"/>
        </w:rPr>
        <w:t>41.45</w:t>
      </w:r>
      <w:r>
        <w:t>%；</w:t>
      </w:r>
      <w:r>
        <w:rPr>
          <w:rFonts w:hint="eastAsia"/>
        </w:rPr>
        <w:t>进入</w:t>
      </w:r>
      <w:r>
        <w:t>“</w:t>
      </w:r>
      <w:r>
        <w:rPr>
          <w:rFonts w:hint="eastAsia"/>
        </w:rPr>
        <w:t>国有企业</w:t>
      </w:r>
      <w:r>
        <w:t>”</w:t>
      </w:r>
      <w:r>
        <w:rPr>
          <w:rFonts w:hint="eastAsia"/>
        </w:rPr>
        <w:t>的</w:t>
      </w:r>
      <w:r>
        <w:t>仅占</w:t>
      </w:r>
      <w:r>
        <w:rPr>
          <w:rFonts w:hint="eastAsia"/>
        </w:rPr>
        <w:t>3.29</w:t>
      </w:r>
      <w:r>
        <w:t>%。其余</w:t>
      </w:r>
      <w:r>
        <w:rPr>
          <w:rFonts w:hint="eastAsia"/>
        </w:rPr>
        <w:t>极少数</w:t>
      </w:r>
      <w:r>
        <w:t>人进入其他事业单位、三资企业和机关。</w:t>
      </w:r>
    </w:p>
    <w:p>
      <w:pPr>
        <w:pStyle w:val="40"/>
      </w:pPr>
    </w:p>
    <w:p>
      <w:pPr>
        <w:spacing w:before="156" w:after="156"/>
        <w:jc w:val="center"/>
      </w:pPr>
      <w:r>
        <w:drawing>
          <wp:inline distT="0" distB="0" distL="0" distR="0">
            <wp:extent cx="3214370" cy="2790825"/>
            <wp:effectExtent l="0" t="0" r="5080" b="952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8"/>
        <w:jc w:val="center"/>
        <w:rPr>
          <w:rFonts w:asciiTheme="minorEastAsia" w:hAnsiTheme="minorEastAsia" w:eastAsiaTheme="minorEastAsia"/>
          <w:sz w:val="18"/>
          <w:szCs w:val="18"/>
        </w:rPr>
      </w:pPr>
      <w:bookmarkStart w:id="52" w:name="_Toc470887049"/>
      <w:r>
        <w:rPr>
          <w:rFonts w:hint="eastAsia" w:asciiTheme="minorEastAsia" w:hAnsiTheme="minorEastAsia" w:eastAsiaTheme="minorEastAsia"/>
          <w:sz w:val="18"/>
          <w:szCs w:val="18"/>
        </w:rPr>
        <w:t>图2-</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图2-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4</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2016届</w:t>
      </w:r>
      <w:r>
        <w:rPr>
          <w:rFonts w:asciiTheme="minorEastAsia" w:hAnsiTheme="minorEastAsia" w:eastAsiaTheme="minorEastAsia"/>
          <w:sz w:val="18"/>
          <w:szCs w:val="18"/>
        </w:rPr>
        <w:t>专科毕业生就业单位性质分布</w:t>
      </w:r>
      <w:bookmarkEnd w:id="52"/>
    </w:p>
    <w:p>
      <w:pPr>
        <w:pStyle w:val="33"/>
      </w:pPr>
      <w:bookmarkStart w:id="53" w:name="_Toc469038319"/>
      <w:r>
        <w:rPr>
          <w:rFonts w:hint="eastAsia"/>
        </w:rPr>
        <w:t>2.本科生</w:t>
      </w:r>
      <w:r>
        <w:t>就业单位性质</w:t>
      </w:r>
      <w:bookmarkEnd w:id="53"/>
    </w:p>
    <w:p>
      <w:pPr>
        <w:pStyle w:val="40"/>
      </w:pPr>
      <w:r>
        <w:rPr>
          <w:rFonts w:hint="eastAsia"/>
        </w:rPr>
        <w:t>根据</w:t>
      </w:r>
      <w:r>
        <w:t>统计数据，</w:t>
      </w:r>
      <w:r>
        <w:rPr>
          <w:rFonts w:hint="eastAsia"/>
        </w:rPr>
        <w:t>2016届</w:t>
      </w:r>
      <w:r>
        <w:t>本科毕业生就业单位性质以</w:t>
      </w:r>
      <w:r>
        <w:rPr>
          <w:rFonts w:hint="eastAsia"/>
        </w:rPr>
        <w:t>“其他企业”为主</w:t>
      </w:r>
      <w:r>
        <w:t>，</w:t>
      </w:r>
      <w:r>
        <w:rPr>
          <w:rFonts w:hint="eastAsia"/>
        </w:rPr>
        <w:t>占比77.16</w:t>
      </w:r>
      <w:r>
        <w:t>%，其次为“</w:t>
      </w:r>
      <w:r>
        <w:rPr>
          <w:rFonts w:hint="eastAsia"/>
        </w:rPr>
        <w:t>国有</w:t>
      </w:r>
      <w:r>
        <w:t>企业”</w:t>
      </w:r>
      <w:r>
        <w:rPr>
          <w:rFonts w:hint="eastAsia"/>
        </w:rPr>
        <w:t>，</w:t>
      </w:r>
      <w:r>
        <w:t>占比</w:t>
      </w:r>
      <w:r>
        <w:rPr>
          <w:rFonts w:hint="eastAsia"/>
        </w:rPr>
        <w:t>13.87%。</w:t>
      </w:r>
      <w:r>
        <w:t>三资</w:t>
      </w:r>
      <w:r>
        <w:rPr>
          <w:rFonts w:hint="eastAsia"/>
        </w:rPr>
        <w:t>企业</w:t>
      </w:r>
      <w:r>
        <w:t>、出国出境、机关和其他事业单位</w:t>
      </w:r>
      <w:r>
        <w:rPr>
          <w:rFonts w:hint="eastAsia"/>
        </w:rPr>
        <w:t>占比均在1.50</w:t>
      </w:r>
      <w:r>
        <w:t>%到</w:t>
      </w:r>
      <w:r>
        <w:rPr>
          <w:rFonts w:hint="eastAsia"/>
        </w:rPr>
        <w:t>2.50</w:t>
      </w:r>
      <w:r>
        <w:t>%之间。相比</w:t>
      </w:r>
      <w:r>
        <w:rPr>
          <w:rFonts w:hint="eastAsia"/>
        </w:rPr>
        <w:t>专科生</w:t>
      </w:r>
      <w:r>
        <w:t>，</w:t>
      </w:r>
      <w:r>
        <w:rPr>
          <w:rFonts w:hint="eastAsia"/>
        </w:rPr>
        <w:t>学校本科毕业生</w:t>
      </w:r>
      <w:r>
        <w:t>的单位</w:t>
      </w:r>
      <w:r>
        <w:rPr>
          <w:rFonts w:hint="eastAsia"/>
        </w:rPr>
        <w:t>性质</w:t>
      </w:r>
      <w:r>
        <w:t>分布较为广泛。</w:t>
      </w:r>
    </w:p>
    <w:p>
      <w:pPr>
        <w:spacing w:before="156" w:after="156"/>
      </w:pPr>
      <w:r>
        <w:drawing>
          <wp:inline distT="0" distB="0" distL="0" distR="0">
            <wp:extent cx="5274310" cy="3410585"/>
            <wp:effectExtent l="0" t="0" r="2540" b="1841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8"/>
        <w:jc w:val="center"/>
        <w:rPr>
          <w:rFonts w:asciiTheme="minorEastAsia" w:hAnsiTheme="minorEastAsia" w:eastAsiaTheme="minorEastAsia"/>
          <w:sz w:val="18"/>
          <w:szCs w:val="18"/>
        </w:rPr>
      </w:pPr>
      <w:bookmarkStart w:id="54" w:name="_Toc470887050"/>
      <w:r>
        <w:rPr>
          <w:rFonts w:hint="eastAsia" w:asciiTheme="minorEastAsia" w:hAnsiTheme="minorEastAsia" w:eastAsiaTheme="minorEastAsia"/>
          <w:sz w:val="18"/>
          <w:szCs w:val="18"/>
        </w:rPr>
        <w:t>图2-</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图2-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5</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2016届本</w:t>
      </w:r>
      <w:r>
        <w:rPr>
          <w:rFonts w:asciiTheme="minorEastAsia" w:hAnsiTheme="minorEastAsia" w:eastAsiaTheme="minorEastAsia"/>
          <w:sz w:val="18"/>
          <w:szCs w:val="18"/>
        </w:rPr>
        <w:t>科毕业生就业单位性质分布</w:t>
      </w:r>
      <w:bookmarkEnd w:id="54"/>
    </w:p>
    <w:p>
      <w:pPr>
        <w:pStyle w:val="30"/>
        <w:spacing w:before="156" w:after="156"/>
      </w:pPr>
      <w:bookmarkStart w:id="55" w:name="_Toc469038320"/>
      <w:bookmarkStart w:id="56" w:name="_Toc471310921"/>
      <w:r>
        <w:rPr>
          <w:rFonts w:hint="eastAsia"/>
        </w:rPr>
        <w:t>（二）2016届毕业生就业区域分布</w:t>
      </w:r>
      <w:bookmarkEnd w:id="55"/>
      <w:bookmarkEnd w:id="56"/>
      <w:r>
        <w:rPr>
          <w:rFonts w:hint="eastAsia"/>
        </w:rPr>
        <w:tab/>
      </w:r>
    </w:p>
    <w:p>
      <w:pPr>
        <w:pStyle w:val="40"/>
      </w:pPr>
      <w:r>
        <w:rPr>
          <w:rFonts w:hint="eastAsia"/>
        </w:rPr>
        <w:t>由</w:t>
      </w:r>
      <w:r>
        <w:t>下表可看出，2016</w:t>
      </w:r>
      <w:r>
        <w:rPr>
          <w:rFonts w:hint="eastAsia"/>
        </w:rPr>
        <w:t>届</w:t>
      </w:r>
      <w:r>
        <w:t>毕业生（</w:t>
      </w:r>
      <w:r>
        <w:rPr>
          <w:rFonts w:hint="eastAsia"/>
        </w:rPr>
        <w:t>此部分</w:t>
      </w:r>
      <w:r>
        <w:t>只涉及</w:t>
      </w:r>
      <w:r>
        <w:rPr>
          <w:rFonts w:hint="eastAsia"/>
        </w:rPr>
        <w:t>派遣</w:t>
      </w:r>
      <w:r>
        <w:t>就业及灵活就业</w:t>
      </w:r>
      <w:r>
        <w:rPr>
          <w:rFonts w:hint="eastAsia"/>
        </w:rPr>
        <w:t>毕业生</w:t>
      </w:r>
      <w:r>
        <w:t>）</w:t>
      </w:r>
      <w:r>
        <w:rPr>
          <w:rFonts w:hint="eastAsia"/>
        </w:rPr>
        <w:t>来自</w:t>
      </w:r>
      <w:r>
        <w:t>湖南省生源占到</w:t>
      </w:r>
      <w:r>
        <w:rPr>
          <w:rFonts w:hint="eastAsia"/>
        </w:rPr>
        <w:t>74.38</w:t>
      </w:r>
      <w:r>
        <w:t>%，外省</w:t>
      </w:r>
      <w:r>
        <w:rPr>
          <w:rFonts w:hint="eastAsia"/>
        </w:rPr>
        <w:t>25.62</w:t>
      </w:r>
      <w:r>
        <w:t>%，</w:t>
      </w:r>
      <w:r>
        <w:rPr>
          <w:rFonts w:hint="eastAsia"/>
        </w:rPr>
        <w:t>而</w:t>
      </w:r>
      <w:r>
        <w:t>就业</w:t>
      </w:r>
      <w:r>
        <w:rPr>
          <w:rFonts w:hint="eastAsia"/>
        </w:rPr>
        <w:t>在</w:t>
      </w:r>
      <w:r>
        <w:t>湖南本省的有</w:t>
      </w:r>
      <w:r>
        <w:rPr>
          <w:rFonts w:hint="eastAsia"/>
        </w:rPr>
        <w:t>63.39</w:t>
      </w:r>
      <w:r>
        <w:t>%，出现将近</w:t>
      </w:r>
      <w:r>
        <w:rPr>
          <w:rFonts w:hint="eastAsia"/>
        </w:rPr>
        <w:t>11.00</w:t>
      </w:r>
      <w:r>
        <w:t>%的外流。</w:t>
      </w:r>
    </w:p>
    <w:p>
      <w:pPr>
        <w:pStyle w:val="8"/>
        <w:jc w:val="center"/>
        <w:rPr>
          <w:rFonts w:asciiTheme="minorEastAsia" w:hAnsiTheme="minorEastAsia" w:eastAsiaTheme="minorEastAsia"/>
          <w:sz w:val="18"/>
          <w:szCs w:val="18"/>
        </w:rPr>
      </w:pPr>
      <w:bookmarkStart w:id="57" w:name="_Toc470886988"/>
      <w:r>
        <w:rPr>
          <w:rFonts w:hint="eastAsia" w:asciiTheme="minorEastAsia" w:hAnsiTheme="minorEastAsia" w:eastAsiaTheme="minorEastAsia"/>
          <w:sz w:val="18"/>
          <w:szCs w:val="18"/>
        </w:rPr>
        <w:t>表2-</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表2-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3</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（就业</w:t>
      </w:r>
      <w:r>
        <w:rPr>
          <w:rFonts w:asciiTheme="minorEastAsia" w:hAnsiTheme="minorEastAsia" w:eastAsiaTheme="minorEastAsia"/>
          <w:sz w:val="18"/>
          <w:szCs w:val="18"/>
        </w:rPr>
        <w:t>及灵活就业</w:t>
      </w:r>
      <w:r>
        <w:rPr>
          <w:rFonts w:hint="eastAsia" w:asciiTheme="minorEastAsia" w:hAnsiTheme="minorEastAsia" w:eastAsiaTheme="minorEastAsia"/>
          <w:sz w:val="18"/>
          <w:szCs w:val="18"/>
        </w:rPr>
        <w:t>）</w:t>
      </w:r>
      <w:r>
        <w:rPr>
          <w:rFonts w:asciiTheme="minorEastAsia" w:hAnsiTheme="minorEastAsia" w:eastAsiaTheme="minorEastAsia"/>
          <w:sz w:val="18"/>
          <w:szCs w:val="18"/>
        </w:rPr>
        <w:t>毕业生生源及就业关系对比</w:t>
      </w:r>
      <w:bookmarkEnd w:id="57"/>
    </w:p>
    <w:tbl>
      <w:tblPr>
        <w:tblStyle w:val="50"/>
        <w:tblW w:w="8296" w:type="dxa"/>
        <w:tblInd w:w="0" w:type="dxa"/>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
      <w:tblGrid>
        <w:gridCol w:w="1204"/>
        <w:gridCol w:w="1793"/>
        <w:gridCol w:w="1588"/>
        <w:gridCol w:w="1301"/>
        <w:gridCol w:w="1205"/>
        <w:gridCol w:w="1205"/>
      </w:tblGrid>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1204" w:type="dxa"/>
            <w:tcBorders>
              <w:top w:val="single" w:color="ED7D31" w:themeColor="accent2" w:sz="4" w:space="0"/>
              <w:left w:val="single" w:color="ED7D31" w:themeColor="accent2" w:sz="4" w:space="0"/>
              <w:bottom w:val="single" w:color="ED7D31" w:themeColor="accent2" w:sz="4" w:space="0"/>
              <w:right w:val="nil"/>
              <w:insideH w:val="single" w:sz="4" w:space="0"/>
              <w:insideV w:val="nil"/>
            </w:tcBorders>
            <w:shd w:val="clear" w:color="auto" w:fill="ED7D31" w:themeFill="accent2"/>
          </w:tcPr>
          <w:p>
            <w:pPr>
              <w:widowControl/>
              <w:jc w:val="center"/>
              <w:rPr>
                <w:rFonts w:ascii="宋体" w:hAnsi="宋体" w:eastAsia="宋体" w:cs="宋体"/>
                <w:b/>
                <w:bCs/>
                <w:color w:val="FFFFFF" w:themeColor="background1"/>
                <w:kern w:val="0"/>
                <w:sz w:val="18"/>
                <w:szCs w:val="18"/>
                <w14:textFill>
                  <w14:solidFill>
                    <w14:schemeClr w14:val="bg1"/>
                  </w14:solidFill>
                </w14:textFill>
              </w:rPr>
            </w:pPr>
            <w:r>
              <w:rPr>
                <w:rFonts w:hint="eastAsia" w:ascii="宋体" w:hAnsi="宋体" w:eastAsia="宋体" w:cs="宋体"/>
                <w:b/>
                <w:bCs/>
                <w:color w:val="FFFFFF" w:themeColor="background1"/>
                <w:kern w:val="0"/>
                <w:sz w:val="18"/>
                <w:szCs w:val="18"/>
                <w14:textFill>
                  <w14:solidFill>
                    <w14:schemeClr w14:val="bg1"/>
                  </w14:solidFill>
                </w14:textFill>
              </w:rPr>
              <w:t>省份</w:t>
            </w:r>
          </w:p>
        </w:tc>
        <w:tc>
          <w:tcPr>
            <w:tcW w:w="1793" w:type="dxa"/>
            <w:tcBorders>
              <w:top w:val="single" w:color="ED7D31" w:themeColor="accent2" w:sz="4" w:space="0"/>
              <w:bottom w:val="single" w:color="ED7D31" w:themeColor="accent2" w:sz="4" w:space="0"/>
              <w:right w:val="nil"/>
              <w:insideH w:val="single" w:sz="4" w:space="0"/>
              <w:insideV w:val="nil"/>
            </w:tcBorders>
            <w:shd w:val="clear" w:color="auto" w:fill="ED7D31" w:themeFill="accent2"/>
          </w:tcPr>
          <w:p>
            <w:pPr>
              <w:widowControl/>
              <w:jc w:val="center"/>
              <w:rPr>
                <w:rFonts w:ascii="宋体" w:hAnsi="宋体" w:eastAsia="宋体" w:cs="宋体"/>
                <w:b/>
                <w:bCs/>
                <w:color w:val="FFFFFF" w:themeColor="background1"/>
                <w:kern w:val="0"/>
                <w:sz w:val="18"/>
                <w:szCs w:val="18"/>
                <w14:textFill>
                  <w14:solidFill>
                    <w14:schemeClr w14:val="bg1"/>
                  </w14:solidFill>
                </w14:textFill>
              </w:rPr>
            </w:pPr>
            <w:r>
              <w:rPr>
                <w:rFonts w:hint="eastAsia" w:ascii="宋体" w:hAnsi="宋体" w:eastAsia="宋体" w:cs="宋体"/>
                <w:b/>
                <w:bCs/>
                <w:color w:val="FFFFFF" w:themeColor="background1"/>
                <w:kern w:val="0"/>
                <w:sz w:val="18"/>
                <w:szCs w:val="18"/>
                <w14:textFill>
                  <w14:solidFill>
                    <w14:schemeClr w14:val="bg1"/>
                  </w14:solidFill>
                </w14:textFill>
              </w:rPr>
              <w:t>生源地人数分布</w:t>
            </w:r>
          </w:p>
        </w:tc>
        <w:tc>
          <w:tcPr>
            <w:tcW w:w="1588" w:type="dxa"/>
            <w:tcBorders>
              <w:top w:val="single" w:color="ED7D31" w:themeColor="accent2" w:sz="4" w:space="0"/>
              <w:bottom w:val="single" w:color="ED7D31" w:themeColor="accent2" w:sz="4" w:space="0"/>
              <w:right w:val="nil"/>
              <w:insideH w:val="single" w:sz="4" w:space="0"/>
              <w:insideV w:val="nil"/>
            </w:tcBorders>
            <w:shd w:val="clear" w:color="auto" w:fill="ED7D31" w:themeFill="accent2"/>
          </w:tcPr>
          <w:p>
            <w:pPr>
              <w:widowControl/>
              <w:jc w:val="center"/>
              <w:rPr>
                <w:rFonts w:ascii="宋体" w:hAnsi="宋体" w:eastAsia="宋体" w:cs="宋体"/>
                <w:b/>
                <w:bCs/>
                <w:color w:val="FFFFFF" w:themeColor="background1"/>
                <w:kern w:val="0"/>
                <w:sz w:val="18"/>
                <w:szCs w:val="18"/>
                <w14:textFill>
                  <w14:solidFill>
                    <w14:schemeClr w14:val="bg1"/>
                  </w14:solidFill>
                </w14:textFill>
              </w:rPr>
            </w:pPr>
            <w:r>
              <w:rPr>
                <w:rFonts w:hint="eastAsia" w:ascii="宋体" w:hAnsi="宋体" w:eastAsia="宋体" w:cs="宋体"/>
                <w:b/>
                <w:bCs/>
                <w:color w:val="FFFFFF" w:themeColor="background1"/>
                <w:kern w:val="0"/>
                <w:sz w:val="18"/>
                <w:szCs w:val="18"/>
                <w14:textFill>
                  <w14:solidFill>
                    <w14:schemeClr w14:val="bg1"/>
                  </w14:solidFill>
                </w14:textFill>
              </w:rPr>
              <w:t>比例（%</w:t>
            </w:r>
            <w:r>
              <w:rPr>
                <w:rFonts w:ascii="宋体" w:hAnsi="宋体" w:eastAsia="宋体" w:cs="宋体"/>
                <w:b/>
                <w:bCs/>
                <w:color w:val="FFFFFF" w:themeColor="background1"/>
                <w:kern w:val="0"/>
                <w:sz w:val="18"/>
                <w:szCs w:val="18"/>
                <w14:textFill>
                  <w14:solidFill>
                    <w14:schemeClr w14:val="bg1"/>
                  </w14:solidFill>
                </w14:textFill>
              </w:rPr>
              <w:t>）</w:t>
            </w:r>
          </w:p>
        </w:tc>
        <w:tc>
          <w:tcPr>
            <w:tcW w:w="1301" w:type="dxa"/>
            <w:tcBorders>
              <w:top w:val="single" w:color="ED7D31" w:themeColor="accent2" w:sz="4" w:space="0"/>
              <w:bottom w:val="single" w:color="ED7D31" w:themeColor="accent2" w:sz="4" w:space="0"/>
              <w:right w:val="nil"/>
              <w:insideH w:val="single" w:sz="4" w:space="0"/>
              <w:insideV w:val="nil"/>
            </w:tcBorders>
            <w:shd w:val="clear" w:color="auto" w:fill="ED7D31" w:themeFill="accent2"/>
          </w:tcPr>
          <w:p>
            <w:pPr>
              <w:widowControl/>
              <w:jc w:val="center"/>
              <w:rPr>
                <w:rFonts w:ascii="宋体" w:hAnsi="宋体" w:eastAsia="宋体" w:cs="宋体"/>
                <w:b/>
                <w:bCs/>
                <w:color w:val="FFFFFF" w:themeColor="background1"/>
                <w:kern w:val="0"/>
                <w:sz w:val="18"/>
                <w:szCs w:val="18"/>
                <w14:textFill>
                  <w14:solidFill>
                    <w14:schemeClr w14:val="bg1"/>
                  </w14:solidFill>
                </w14:textFill>
              </w:rPr>
            </w:pPr>
            <w:r>
              <w:rPr>
                <w:rFonts w:hint="eastAsia" w:ascii="宋体" w:hAnsi="宋体" w:eastAsia="宋体" w:cs="宋体"/>
                <w:b/>
                <w:bCs/>
                <w:color w:val="FFFFFF" w:themeColor="background1"/>
                <w:kern w:val="0"/>
                <w:sz w:val="18"/>
                <w:szCs w:val="18"/>
                <w14:textFill>
                  <w14:solidFill>
                    <w14:schemeClr w14:val="bg1"/>
                  </w14:solidFill>
                </w14:textFill>
              </w:rPr>
              <w:t>就业人数分布</w:t>
            </w:r>
          </w:p>
        </w:tc>
        <w:tc>
          <w:tcPr>
            <w:tcW w:w="1205" w:type="dxa"/>
            <w:tcBorders>
              <w:top w:val="single" w:color="ED7D31" w:themeColor="accent2" w:sz="4" w:space="0"/>
              <w:bottom w:val="single" w:color="ED7D31" w:themeColor="accent2" w:sz="4" w:space="0"/>
              <w:right w:val="nil"/>
              <w:insideH w:val="single" w:sz="4" w:space="0"/>
              <w:insideV w:val="nil"/>
            </w:tcBorders>
            <w:shd w:val="clear" w:color="auto" w:fill="ED7D31" w:themeFill="accent2"/>
          </w:tcPr>
          <w:p>
            <w:pPr>
              <w:widowControl/>
              <w:jc w:val="center"/>
              <w:rPr>
                <w:rFonts w:ascii="宋体" w:hAnsi="宋体" w:eastAsia="宋体" w:cs="宋体"/>
                <w:b/>
                <w:bCs/>
                <w:color w:val="FFFFFF" w:themeColor="background1"/>
                <w:kern w:val="0"/>
                <w:sz w:val="18"/>
                <w:szCs w:val="18"/>
                <w14:textFill>
                  <w14:solidFill>
                    <w14:schemeClr w14:val="bg1"/>
                  </w14:solidFill>
                </w14:textFill>
              </w:rPr>
            </w:pPr>
            <w:r>
              <w:rPr>
                <w:rFonts w:hint="eastAsia" w:ascii="宋体" w:hAnsi="宋体" w:eastAsia="宋体" w:cs="宋体"/>
                <w:b/>
                <w:bCs/>
                <w:color w:val="FFFFFF" w:themeColor="background1"/>
                <w:kern w:val="0"/>
                <w:sz w:val="18"/>
                <w:szCs w:val="18"/>
                <w14:textFill>
                  <w14:solidFill>
                    <w14:schemeClr w14:val="bg1"/>
                  </w14:solidFill>
                </w14:textFill>
              </w:rPr>
              <w:t>比例（%</w:t>
            </w:r>
            <w:r>
              <w:rPr>
                <w:rFonts w:ascii="宋体" w:hAnsi="宋体" w:eastAsia="宋体" w:cs="宋体"/>
                <w:b/>
                <w:bCs/>
                <w:color w:val="FFFFFF" w:themeColor="background1"/>
                <w:kern w:val="0"/>
                <w:sz w:val="18"/>
                <w:szCs w:val="18"/>
                <w14:textFill>
                  <w14:solidFill>
                    <w14:schemeClr w14:val="bg1"/>
                  </w14:solidFill>
                </w14:textFill>
              </w:rPr>
              <w:t>）</w:t>
            </w:r>
          </w:p>
        </w:tc>
        <w:tc>
          <w:tcPr>
            <w:tcW w:w="1205" w:type="dxa"/>
            <w:tcBorders>
              <w:top w:val="single" w:color="ED7D31" w:themeColor="accent2" w:sz="4" w:space="0"/>
              <w:bottom w:val="single" w:color="ED7D31" w:themeColor="accent2" w:sz="4" w:space="0"/>
              <w:right w:val="single" w:color="ED7D31" w:themeColor="accent2" w:sz="4" w:space="0"/>
              <w:insideH w:val="single" w:sz="4" w:space="0"/>
              <w:insideV w:val="nil"/>
            </w:tcBorders>
            <w:shd w:val="clear" w:color="auto" w:fill="ED7D31" w:themeFill="accent2"/>
          </w:tcPr>
          <w:p>
            <w:pPr>
              <w:widowControl/>
              <w:jc w:val="center"/>
              <w:rPr>
                <w:rFonts w:ascii="宋体" w:hAnsi="宋体" w:eastAsia="宋体" w:cs="宋体"/>
                <w:b/>
                <w:bCs/>
                <w:color w:val="FFFFFF" w:themeColor="background1"/>
                <w:kern w:val="0"/>
                <w:sz w:val="18"/>
                <w:szCs w:val="18"/>
                <w14:textFill>
                  <w14:solidFill>
                    <w14:schemeClr w14:val="bg1"/>
                  </w14:solidFill>
                </w14:textFill>
              </w:rPr>
            </w:pPr>
            <w:r>
              <w:rPr>
                <w:rFonts w:hint="eastAsia" w:ascii="宋体" w:hAnsi="宋体" w:eastAsia="宋体" w:cs="宋体"/>
                <w:b/>
                <w:bCs/>
                <w:color w:val="FFFFFF" w:themeColor="background1"/>
                <w:kern w:val="0"/>
                <w:sz w:val="18"/>
                <w:szCs w:val="18"/>
                <w14:textFill>
                  <w14:solidFill>
                    <w14:schemeClr w14:val="bg1"/>
                  </w14:solidFill>
                </w14:textFill>
              </w:rPr>
              <w:t>逆差（%</w:t>
            </w:r>
            <w:r>
              <w:rPr>
                <w:rFonts w:ascii="宋体" w:hAnsi="宋体" w:eastAsia="宋体" w:cs="宋体"/>
                <w:b/>
                <w:bCs/>
                <w:color w:val="FFFFFF" w:themeColor="background1"/>
                <w:kern w:val="0"/>
                <w:sz w:val="18"/>
                <w:szCs w:val="18"/>
                <w14:textFill>
                  <w14:solidFill>
                    <w14:schemeClr w14:val="bg1"/>
                  </w14:solidFill>
                </w14:textFill>
              </w:rPr>
              <w:t>）</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1204" w:type="dxa"/>
            <w:shd w:val="clear" w:color="auto" w:fill="FBE4D5" w:themeFill="accent2" w:themeFillTint="33"/>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湖南省</w:t>
            </w:r>
          </w:p>
        </w:tc>
        <w:tc>
          <w:tcPr>
            <w:tcW w:w="1793"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2131</w:t>
            </w:r>
          </w:p>
        </w:tc>
        <w:tc>
          <w:tcPr>
            <w:tcW w:w="1588"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74.38</w:t>
            </w:r>
          </w:p>
        </w:tc>
        <w:tc>
          <w:tcPr>
            <w:tcW w:w="1301"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1816</w:t>
            </w:r>
          </w:p>
        </w:tc>
        <w:tc>
          <w:tcPr>
            <w:tcW w:w="1205"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63.39</w:t>
            </w:r>
          </w:p>
        </w:tc>
        <w:tc>
          <w:tcPr>
            <w:tcW w:w="1205"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-10.99</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1204" w:type="dxa"/>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外省</w:t>
            </w:r>
          </w:p>
        </w:tc>
        <w:tc>
          <w:tcPr>
            <w:tcW w:w="1793"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734</w:t>
            </w:r>
          </w:p>
        </w:tc>
        <w:tc>
          <w:tcPr>
            <w:tcW w:w="1588"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25.62</w:t>
            </w:r>
          </w:p>
        </w:tc>
        <w:tc>
          <w:tcPr>
            <w:tcW w:w="1301"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1049</w:t>
            </w:r>
          </w:p>
        </w:tc>
        <w:tc>
          <w:tcPr>
            <w:tcW w:w="1205"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36.61</w:t>
            </w:r>
          </w:p>
        </w:tc>
        <w:tc>
          <w:tcPr>
            <w:tcW w:w="1205"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10.99</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1204" w:type="dxa"/>
            <w:shd w:val="clear" w:color="auto" w:fill="FBE4D5" w:themeFill="accent2" w:themeFillTint="33"/>
          </w:tcPr>
          <w:p>
            <w:pPr>
              <w:widowControl/>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总计</w:t>
            </w:r>
          </w:p>
        </w:tc>
        <w:tc>
          <w:tcPr>
            <w:tcW w:w="1793" w:type="dxa"/>
            <w:shd w:val="clear" w:color="auto" w:fill="FBE4D5" w:themeFill="accent2" w:themeFillTint="33"/>
          </w:tcPr>
          <w:p>
            <w:pPr>
              <w:widowControl/>
              <w:jc w:val="center"/>
              <w:rPr>
                <w:rFonts w:ascii="宋体" w:hAnsi="宋体" w:eastAsia="宋体" w:cs="宋体"/>
                <w:b/>
                <w:color w:val="000000"/>
                <w:kern w:val="0"/>
                <w:sz w:val="18"/>
                <w:szCs w:val="18"/>
              </w:rPr>
            </w:pPr>
            <w:r>
              <w:rPr>
                <w:rFonts w:hint="eastAsia" w:ascii="宋体" w:hAnsi="宋体" w:eastAsia="宋体" w:cs="宋体"/>
                <w:b/>
                <w:color w:val="000000"/>
                <w:kern w:val="0"/>
                <w:sz w:val="18"/>
                <w:szCs w:val="18"/>
              </w:rPr>
              <w:t>2865</w:t>
            </w:r>
          </w:p>
        </w:tc>
        <w:tc>
          <w:tcPr>
            <w:tcW w:w="1588" w:type="dxa"/>
            <w:shd w:val="clear" w:color="auto" w:fill="FBE4D5" w:themeFill="accent2" w:themeFillTint="33"/>
          </w:tcPr>
          <w:p>
            <w:pPr>
              <w:widowControl/>
              <w:jc w:val="center"/>
              <w:rPr>
                <w:rFonts w:ascii="宋体" w:hAnsi="宋体" w:eastAsia="宋体" w:cs="宋体"/>
                <w:b/>
                <w:color w:val="000000"/>
                <w:kern w:val="0"/>
                <w:sz w:val="18"/>
                <w:szCs w:val="18"/>
              </w:rPr>
            </w:pPr>
            <w:r>
              <w:rPr>
                <w:rFonts w:hint="eastAsia" w:ascii="宋体" w:hAnsi="宋体" w:eastAsia="宋体" w:cs="宋体"/>
                <w:b/>
                <w:color w:val="000000"/>
                <w:kern w:val="0"/>
                <w:sz w:val="18"/>
                <w:szCs w:val="18"/>
              </w:rPr>
              <w:t>1</w:t>
            </w:r>
            <w:r>
              <w:rPr>
                <w:rFonts w:ascii="宋体" w:hAnsi="宋体" w:eastAsia="宋体" w:cs="宋体"/>
                <w:b/>
                <w:color w:val="000000"/>
                <w:kern w:val="0"/>
                <w:sz w:val="18"/>
                <w:szCs w:val="18"/>
              </w:rPr>
              <w:t>00.00</w:t>
            </w:r>
          </w:p>
        </w:tc>
        <w:tc>
          <w:tcPr>
            <w:tcW w:w="1301" w:type="dxa"/>
            <w:shd w:val="clear" w:color="auto" w:fill="FBE4D5" w:themeFill="accent2" w:themeFillTint="33"/>
          </w:tcPr>
          <w:p>
            <w:pPr>
              <w:widowControl/>
              <w:jc w:val="center"/>
              <w:rPr>
                <w:rFonts w:ascii="宋体" w:hAnsi="宋体" w:eastAsia="宋体" w:cs="宋体"/>
                <w:b/>
                <w:color w:val="000000"/>
                <w:kern w:val="0"/>
                <w:sz w:val="18"/>
                <w:szCs w:val="18"/>
              </w:rPr>
            </w:pPr>
            <w:r>
              <w:rPr>
                <w:rFonts w:hint="eastAsia" w:ascii="宋体" w:hAnsi="宋体" w:eastAsia="宋体" w:cs="宋体"/>
                <w:b/>
                <w:color w:val="000000"/>
                <w:kern w:val="0"/>
                <w:sz w:val="18"/>
                <w:szCs w:val="18"/>
              </w:rPr>
              <w:t>2865</w:t>
            </w:r>
          </w:p>
        </w:tc>
        <w:tc>
          <w:tcPr>
            <w:tcW w:w="1205" w:type="dxa"/>
            <w:shd w:val="clear" w:color="auto" w:fill="FBE4D5" w:themeFill="accent2" w:themeFillTint="33"/>
          </w:tcPr>
          <w:p>
            <w:pPr>
              <w:widowControl/>
              <w:jc w:val="center"/>
              <w:rPr>
                <w:rFonts w:ascii="宋体" w:hAnsi="宋体" w:eastAsia="宋体" w:cs="宋体"/>
                <w:b/>
                <w:color w:val="000000"/>
                <w:kern w:val="0"/>
                <w:sz w:val="18"/>
                <w:szCs w:val="18"/>
              </w:rPr>
            </w:pPr>
            <w:r>
              <w:rPr>
                <w:rFonts w:hint="eastAsia" w:ascii="宋体" w:hAnsi="宋体" w:eastAsia="宋体" w:cs="宋体"/>
                <w:b/>
                <w:color w:val="000000"/>
                <w:kern w:val="0"/>
                <w:sz w:val="18"/>
                <w:szCs w:val="18"/>
              </w:rPr>
              <w:t>1</w:t>
            </w:r>
            <w:r>
              <w:rPr>
                <w:rFonts w:ascii="宋体" w:hAnsi="宋体" w:eastAsia="宋体" w:cs="宋体"/>
                <w:b/>
                <w:color w:val="000000"/>
                <w:kern w:val="0"/>
                <w:sz w:val="18"/>
                <w:szCs w:val="18"/>
              </w:rPr>
              <w:t>00.00</w:t>
            </w:r>
          </w:p>
        </w:tc>
        <w:tc>
          <w:tcPr>
            <w:tcW w:w="1205" w:type="dxa"/>
            <w:shd w:val="clear" w:color="auto" w:fill="FBE4D5" w:themeFill="accent2" w:themeFillTint="33"/>
          </w:tcPr>
          <w:p>
            <w:pPr>
              <w:widowControl/>
              <w:rPr>
                <w:rFonts w:ascii="宋体" w:hAnsi="宋体" w:eastAsia="宋体" w:cs="宋体"/>
                <w:b/>
                <w:color w:val="000000"/>
                <w:kern w:val="0"/>
                <w:sz w:val="18"/>
                <w:szCs w:val="18"/>
              </w:rPr>
            </w:pPr>
            <w:r>
              <w:rPr>
                <w:rFonts w:hint="eastAsia" w:ascii="宋体" w:hAnsi="宋体" w:eastAsia="宋体" w:cs="宋体"/>
                <w:b/>
                <w:color w:val="000000"/>
                <w:kern w:val="0"/>
                <w:sz w:val="18"/>
                <w:szCs w:val="18"/>
              </w:rPr>
              <w:t xml:space="preserve">      -</w:t>
            </w:r>
          </w:p>
        </w:tc>
      </w:tr>
    </w:tbl>
    <w:p>
      <w:pPr>
        <w:pStyle w:val="40"/>
      </w:pPr>
      <w:r>
        <w:rPr>
          <w:rFonts w:hint="eastAsia"/>
        </w:rPr>
        <w:t>从</w:t>
      </w:r>
      <w:r>
        <w:t>2016</w:t>
      </w:r>
      <w:r>
        <w:rPr>
          <w:rFonts w:hint="eastAsia"/>
        </w:rPr>
        <w:t>届</w:t>
      </w:r>
      <w:r>
        <w:t>中</w:t>
      </w:r>
      <w:r>
        <w:rPr>
          <w:rFonts w:hint="eastAsia"/>
        </w:rPr>
        <w:t>选择外省就业</w:t>
      </w:r>
      <w:r>
        <w:t>的毕业生</w:t>
      </w:r>
      <w:r>
        <w:rPr>
          <w:rFonts w:hint="eastAsia"/>
        </w:rPr>
        <w:t>人数分布来看，85.00</w:t>
      </w:r>
      <w:r>
        <w:t>%以上</w:t>
      </w:r>
      <w:r>
        <w:rPr>
          <w:rFonts w:hint="eastAsia"/>
        </w:rPr>
        <w:t>的</w:t>
      </w:r>
      <w:r>
        <w:t>毕业生</w:t>
      </w:r>
      <w:r>
        <w:rPr>
          <w:rFonts w:hint="eastAsia"/>
        </w:rPr>
        <w:t>选择</w:t>
      </w:r>
      <w:r>
        <w:t>在泛珠江三角洲地区</w:t>
      </w:r>
      <w:r>
        <w:rPr>
          <w:rFonts w:hint="eastAsia"/>
        </w:rPr>
        <w:t>、</w:t>
      </w:r>
      <w:r>
        <w:t>泛长江三角洲地区和泛渤海湾地区</w:t>
      </w:r>
      <w:r>
        <w:rPr>
          <w:rFonts w:hint="eastAsia"/>
        </w:rPr>
        <w:t>，即</w:t>
      </w:r>
      <w:r>
        <w:t>经济发达</w:t>
      </w:r>
      <w:r>
        <w:rPr>
          <w:rFonts w:hint="eastAsia"/>
        </w:rPr>
        <w:t>区域</w:t>
      </w:r>
      <w:r>
        <w:t>。</w:t>
      </w:r>
    </w:p>
    <w:p>
      <w:pPr>
        <w:spacing w:before="156" w:after="156"/>
        <w:jc w:val="center"/>
      </w:pPr>
      <w:r>
        <w:drawing>
          <wp:inline distT="0" distB="0" distL="0" distR="0">
            <wp:extent cx="4290695" cy="3238500"/>
            <wp:effectExtent l="0" t="0" r="14605" b="0"/>
            <wp:docPr id="70" name="图表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8"/>
        <w:jc w:val="center"/>
        <w:rPr>
          <w:rFonts w:asciiTheme="minorEastAsia" w:hAnsiTheme="minorEastAsia" w:eastAsiaTheme="minorEastAsia"/>
          <w:sz w:val="18"/>
          <w:szCs w:val="18"/>
        </w:rPr>
      </w:pPr>
      <w:bookmarkStart w:id="58" w:name="_Toc470887051"/>
      <w:r>
        <w:rPr>
          <w:rFonts w:hint="eastAsia" w:asciiTheme="minorEastAsia" w:hAnsiTheme="minorEastAsia" w:eastAsiaTheme="minorEastAsia"/>
          <w:sz w:val="18"/>
          <w:szCs w:val="18"/>
        </w:rPr>
        <w:t>图2-</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图2-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6</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2016届</w:t>
      </w:r>
      <w:r>
        <w:rPr>
          <w:rFonts w:asciiTheme="minorEastAsia" w:hAnsiTheme="minorEastAsia" w:eastAsiaTheme="minorEastAsia"/>
          <w:sz w:val="18"/>
          <w:szCs w:val="18"/>
        </w:rPr>
        <w:t>毕业生</w:t>
      </w:r>
      <w:r>
        <w:rPr>
          <w:rFonts w:hint="eastAsia" w:asciiTheme="minorEastAsia" w:hAnsiTheme="minorEastAsia" w:eastAsiaTheme="minorEastAsia"/>
          <w:sz w:val="18"/>
          <w:szCs w:val="18"/>
        </w:rPr>
        <w:t>外省</w:t>
      </w:r>
      <w:r>
        <w:rPr>
          <w:rFonts w:asciiTheme="minorEastAsia" w:hAnsiTheme="minorEastAsia" w:eastAsiaTheme="minorEastAsia"/>
          <w:sz w:val="18"/>
          <w:szCs w:val="18"/>
        </w:rPr>
        <w:t>就业区域分布</w:t>
      </w:r>
      <w:bookmarkEnd w:id="58"/>
    </w:p>
    <w:p>
      <w:pPr>
        <w:pStyle w:val="40"/>
      </w:pPr>
      <w:r>
        <w:rPr>
          <w:rFonts w:hint="eastAsia"/>
        </w:rPr>
        <w:t>注：泛珠江三角洲</w:t>
      </w:r>
      <w:r>
        <w:t>地区：广东、广西、福建、海南；</w:t>
      </w:r>
    </w:p>
    <w:p>
      <w:pPr>
        <w:pStyle w:val="40"/>
      </w:pPr>
      <w:r>
        <w:rPr>
          <w:rFonts w:hint="eastAsia"/>
        </w:rPr>
        <w:t>泛长江三角洲</w:t>
      </w:r>
      <w:r>
        <w:t>地区：上海、江苏、浙江、江西、安徽；</w:t>
      </w:r>
    </w:p>
    <w:p>
      <w:pPr>
        <w:pStyle w:val="40"/>
      </w:pPr>
      <w:r>
        <w:rPr>
          <w:rFonts w:hint="eastAsia"/>
        </w:rPr>
        <w:t>泛渤海湾</w:t>
      </w:r>
      <w:r>
        <w:t>地区：北京、天津、山东、河北、内蒙古、</w:t>
      </w:r>
      <w:r>
        <w:rPr>
          <w:rFonts w:hint="eastAsia"/>
        </w:rPr>
        <w:t>山西</w:t>
      </w:r>
      <w:r>
        <w:t>；</w:t>
      </w:r>
    </w:p>
    <w:p>
      <w:pPr>
        <w:pStyle w:val="40"/>
      </w:pPr>
      <w:r>
        <w:rPr>
          <w:rFonts w:hint="eastAsia"/>
        </w:rPr>
        <w:t>西南地区</w:t>
      </w:r>
      <w:r>
        <w:t>：重庆、四川、贵州、云南、西藏；</w:t>
      </w:r>
    </w:p>
    <w:p>
      <w:pPr>
        <w:pStyle w:val="40"/>
      </w:pPr>
      <w:r>
        <w:rPr>
          <w:rFonts w:hint="eastAsia"/>
        </w:rPr>
        <w:t>中部地区</w:t>
      </w:r>
      <w:r>
        <w:t>：湖北、河南；</w:t>
      </w:r>
    </w:p>
    <w:p>
      <w:pPr>
        <w:pStyle w:val="40"/>
      </w:pPr>
      <w:r>
        <w:rPr>
          <w:rFonts w:hint="eastAsia"/>
        </w:rPr>
        <w:t>西北地区</w:t>
      </w:r>
      <w:r>
        <w:t>：</w:t>
      </w:r>
      <w:r>
        <w:rPr>
          <w:rFonts w:hint="eastAsia"/>
        </w:rPr>
        <w:t>陕西</w:t>
      </w:r>
      <w:r>
        <w:t>、甘肃、宁夏、青海、新疆；</w:t>
      </w:r>
    </w:p>
    <w:p>
      <w:pPr>
        <w:pStyle w:val="40"/>
      </w:pPr>
      <w:r>
        <w:rPr>
          <w:rFonts w:hint="eastAsia"/>
        </w:rPr>
        <w:t>东北地区：黑龙江、吉林、辽宁。</w:t>
      </w:r>
    </w:p>
    <w:p>
      <w:pPr>
        <w:pStyle w:val="40"/>
      </w:pPr>
      <w:r>
        <w:rPr>
          <w:rFonts w:hint="eastAsia"/>
        </w:rPr>
        <w:t>湖南</w:t>
      </w:r>
      <w:r>
        <w:t>省内，多集中在</w:t>
      </w:r>
      <w:r>
        <w:rPr>
          <w:rFonts w:hint="eastAsia"/>
        </w:rPr>
        <w:t>长沙市</w:t>
      </w:r>
      <w:r>
        <w:t>，占比将近</w:t>
      </w:r>
      <w:r>
        <w:rPr>
          <w:rFonts w:hint="eastAsia"/>
        </w:rPr>
        <w:t>30.00</w:t>
      </w:r>
      <w:r>
        <w:t>%。其次是</w:t>
      </w:r>
      <w:r>
        <w:rPr>
          <w:rFonts w:hint="eastAsia"/>
        </w:rPr>
        <w:t>常德市、衡阳市</w:t>
      </w:r>
      <w:r>
        <w:t>、</w:t>
      </w:r>
      <w:r>
        <w:rPr>
          <w:rFonts w:hint="eastAsia"/>
        </w:rPr>
        <w:t>邵阳市，</w:t>
      </w:r>
      <w:r>
        <w:t>差距不是很大，均为</w:t>
      </w:r>
      <w:r>
        <w:rPr>
          <w:rFonts w:hint="eastAsia"/>
        </w:rPr>
        <w:t>10.00</w:t>
      </w:r>
      <w:r>
        <w:t>%左右，分布较少的为</w:t>
      </w:r>
      <w:r>
        <w:rPr>
          <w:rFonts w:hint="eastAsia"/>
        </w:rPr>
        <w:t>耒阳市</w:t>
      </w:r>
      <w:r>
        <w:t>和茶陵县。</w:t>
      </w:r>
      <w:r>
        <w:rPr>
          <w:rFonts w:hint="eastAsia"/>
        </w:rPr>
        <w:t>具体数据详见图2</w:t>
      </w:r>
      <w:r>
        <w:t>-7。</w:t>
      </w:r>
    </w:p>
    <w:p>
      <w:pPr>
        <w:jc w:val="center"/>
      </w:pPr>
      <w:r>
        <w:drawing>
          <wp:inline distT="0" distB="0" distL="0" distR="0">
            <wp:extent cx="4810125" cy="3667125"/>
            <wp:effectExtent l="0" t="0" r="9525" b="9525"/>
            <wp:docPr id="71" name="图表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pStyle w:val="8"/>
        <w:jc w:val="center"/>
        <w:rPr>
          <w:rFonts w:asciiTheme="minorEastAsia" w:hAnsiTheme="minorEastAsia" w:eastAsiaTheme="minorEastAsia"/>
          <w:sz w:val="18"/>
          <w:szCs w:val="18"/>
        </w:rPr>
      </w:pPr>
      <w:bookmarkStart w:id="59" w:name="_Toc470887052"/>
      <w:r>
        <w:rPr>
          <w:rFonts w:hint="eastAsia" w:asciiTheme="minorEastAsia" w:hAnsiTheme="minorEastAsia" w:eastAsiaTheme="minorEastAsia"/>
          <w:sz w:val="18"/>
          <w:szCs w:val="18"/>
        </w:rPr>
        <w:t>图2-</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图2-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7</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2016届</w:t>
      </w:r>
      <w:r>
        <w:rPr>
          <w:rFonts w:asciiTheme="minorEastAsia" w:hAnsiTheme="minorEastAsia" w:eastAsiaTheme="minorEastAsia"/>
          <w:sz w:val="18"/>
          <w:szCs w:val="18"/>
        </w:rPr>
        <w:t>毕业生</w:t>
      </w:r>
      <w:r>
        <w:rPr>
          <w:rFonts w:hint="eastAsia" w:asciiTheme="minorEastAsia" w:hAnsiTheme="minorEastAsia" w:eastAsiaTheme="minorEastAsia"/>
          <w:sz w:val="18"/>
          <w:szCs w:val="18"/>
        </w:rPr>
        <w:t>湖南省各</w:t>
      </w:r>
      <w:r>
        <w:rPr>
          <w:rFonts w:asciiTheme="minorEastAsia" w:hAnsiTheme="minorEastAsia" w:eastAsiaTheme="minorEastAsia"/>
          <w:sz w:val="18"/>
          <w:szCs w:val="18"/>
        </w:rPr>
        <w:t>市</w:t>
      </w:r>
      <w:r>
        <w:rPr>
          <w:rFonts w:hint="eastAsia" w:asciiTheme="minorEastAsia" w:hAnsiTheme="minorEastAsia" w:eastAsiaTheme="minorEastAsia"/>
          <w:sz w:val="18"/>
          <w:szCs w:val="18"/>
        </w:rPr>
        <w:t>就业人数分布</w:t>
      </w:r>
      <w:bookmarkEnd w:id="59"/>
    </w:p>
    <w:p>
      <w:pPr>
        <w:pStyle w:val="30"/>
      </w:pPr>
      <w:bookmarkStart w:id="60" w:name="_Toc471310922"/>
      <w:bookmarkStart w:id="61" w:name="_Toc469038321"/>
      <w:r>
        <w:rPr>
          <w:rFonts w:hint="eastAsia"/>
        </w:rPr>
        <w:t>（三）2016届毕业生就业行业分布</w:t>
      </w:r>
      <w:bookmarkEnd w:id="60"/>
      <w:bookmarkEnd w:id="61"/>
      <w:r>
        <w:rPr>
          <w:rFonts w:hint="eastAsia"/>
        </w:rPr>
        <w:tab/>
      </w:r>
    </w:p>
    <w:p>
      <w:pPr>
        <w:pStyle w:val="40"/>
      </w:pPr>
      <w:r>
        <w:rPr>
          <w:rFonts w:hint="eastAsia"/>
        </w:rPr>
        <w:t>统计数据</w:t>
      </w:r>
      <w:r>
        <w:t>显示，</w:t>
      </w:r>
      <w:r>
        <w:rPr>
          <w:rFonts w:hint="eastAsia"/>
        </w:rPr>
        <w:t>2016届</w:t>
      </w:r>
      <w:r>
        <w:t>毕业生主要在“</w:t>
      </w:r>
      <w:r>
        <w:rPr>
          <w:rFonts w:hint="eastAsia"/>
        </w:rPr>
        <w:t>信息</w:t>
      </w:r>
      <w:r>
        <w:t>传输、软件和信息技术服务业”“</w:t>
      </w:r>
      <w:r>
        <w:rPr>
          <w:rFonts w:hint="eastAsia"/>
        </w:rPr>
        <w:t>金融业</w:t>
      </w:r>
      <w:r>
        <w:t>”</w:t>
      </w:r>
      <w:r>
        <w:rPr>
          <w:rFonts w:hint="eastAsia"/>
        </w:rPr>
        <w:t>及</w:t>
      </w:r>
      <w:r>
        <w:t>“</w:t>
      </w:r>
      <w:r>
        <w:rPr>
          <w:rFonts w:hint="eastAsia"/>
        </w:rPr>
        <w:t>制造业</w:t>
      </w:r>
      <w:r>
        <w:t>”</w:t>
      </w:r>
      <w:r>
        <w:rPr>
          <w:rFonts w:hint="eastAsia"/>
        </w:rPr>
        <w:t>中</w:t>
      </w:r>
      <w:r>
        <w:t>就业，占比分别为</w:t>
      </w:r>
      <w:r>
        <w:rPr>
          <w:rFonts w:hint="eastAsia"/>
        </w:rPr>
        <w:t>19.22</w:t>
      </w:r>
      <w:r>
        <w:t>%、16.78%和</w:t>
      </w:r>
      <w:r>
        <w:rPr>
          <w:rFonts w:hint="eastAsia"/>
        </w:rPr>
        <w:t>8.51</w:t>
      </w:r>
      <w:r>
        <w:t>%</w:t>
      </w:r>
      <w:r>
        <w:rPr>
          <w:rFonts w:hint="eastAsia"/>
        </w:rPr>
        <w:t>。毕业生</w:t>
      </w:r>
      <w:r>
        <w:t>就业行业</w:t>
      </w:r>
      <w:r>
        <w:rPr>
          <w:rFonts w:hint="eastAsia"/>
        </w:rPr>
        <w:t>人数</w:t>
      </w:r>
      <w:r>
        <w:t>最少的三个行业</w:t>
      </w:r>
      <w:r>
        <w:rPr>
          <w:rFonts w:hint="eastAsia"/>
        </w:rPr>
        <w:t>是“农</w:t>
      </w:r>
      <w:r>
        <w:t>、林、牧、渔业</w:t>
      </w:r>
      <w:r>
        <w:rPr>
          <w:rFonts w:hint="eastAsia"/>
        </w:rPr>
        <w:t>”“采矿业”和</w:t>
      </w:r>
      <w:r>
        <w:t>“</w:t>
      </w:r>
      <w:r>
        <w:rPr>
          <w:rFonts w:hint="eastAsia"/>
        </w:rPr>
        <w:t>军队</w:t>
      </w:r>
      <w:r>
        <w:t>”</w:t>
      </w:r>
      <w:r>
        <w:rPr>
          <w:rFonts w:hint="eastAsia"/>
        </w:rPr>
        <w:t>，</w:t>
      </w:r>
      <w:r>
        <w:t>占比分别为</w:t>
      </w:r>
      <w:r>
        <w:rPr>
          <w:rFonts w:hint="eastAsia"/>
        </w:rPr>
        <w:t>0.59</w:t>
      </w:r>
      <w:r>
        <w:t>%、</w:t>
      </w:r>
      <w:r>
        <w:rPr>
          <w:rFonts w:hint="eastAsia"/>
        </w:rPr>
        <w:t>0</w:t>
      </w:r>
      <w:r>
        <w:t>.49%和</w:t>
      </w:r>
      <w:r>
        <w:rPr>
          <w:rFonts w:hint="eastAsia"/>
        </w:rPr>
        <w:t>0.07</w:t>
      </w:r>
      <w:r>
        <w:t>%</w:t>
      </w:r>
      <w:r>
        <w:rPr>
          <w:rFonts w:hint="eastAsia"/>
        </w:rPr>
        <w:t>。</w:t>
      </w:r>
    </w:p>
    <w:p>
      <w:pPr>
        <w:spacing w:before="156" w:after="156"/>
      </w:pPr>
      <w:r>
        <w:drawing>
          <wp:inline distT="0" distB="0" distL="0" distR="0">
            <wp:extent cx="5210175" cy="3676650"/>
            <wp:effectExtent l="0" t="0" r="9525" b="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pStyle w:val="8"/>
        <w:jc w:val="center"/>
        <w:rPr>
          <w:rFonts w:asciiTheme="minorEastAsia" w:hAnsiTheme="minorEastAsia" w:eastAsiaTheme="minorEastAsia"/>
          <w:sz w:val="18"/>
          <w:szCs w:val="18"/>
        </w:rPr>
      </w:pPr>
      <w:bookmarkStart w:id="62" w:name="_Toc470887053"/>
      <w:r>
        <w:rPr>
          <w:rFonts w:hint="eastAsia" w:asciiTheme="minorEastAsia" w:hAnsiTheme="minorEastAsia" w:eastAsiaTheme="minorEastAsia"/>
          <w:sz w:val="18"/>
          <w:szCs w:val="18"/>
        </w:rPr>
        <w:t>图2-</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图2-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8</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2016届</w:t>
      </w:r>
      <w:r>
        <w:rPr>
          <w:rFonts w:asciiTheme="minorEastAsia" w:hAnsiTheme="minorEastAsia" w:eastAsiaTheme="minorEastAsia"/>
          <w:sz w:val="18"/>
          <w:szCs w:val="18"/>
        </w:rPr>
        <w:t>毕业生</w:t>
      </w:r>
      <w:r>
        <w:rPr>
          <w:rFonts w:hint="eastAsia" w:asciiTheme="minorEastAsia" w:hAnsiTheme="minorEastAsia" w:eastAsiaTheme="minorEastAsia"/>
          <w:sz w:val="18"/>
          <w:szCs w:val="18"/>
        </w:rPr>
        <w:t>单位行业</w:t>
      </w:r>
      <w:r>
        <w:rPr>
          <w:rFonts w:asciiTheme="minorEastAsia" w:hAnsiTheme="minorEastAsia" w:eastAsiaTheme="minorEastAsia"/>
          <w:sz w:val="18"/>
          <w:szCs w:val="18"/>
        </w:rPr>
        <w:t>分布比例</w:t>
      </w:r>
      <w:bookmarkEnd w:id="62"/>
    </w:p>
    <w:p>
      <w:pPr>
        <w:pStyle w:val="30"/>
      </w:pPr>
      <w:bookmarkStart w:id="63" w:name="_Toc469038322"/>
      <w:bookmarkStart w:id="64" w:name="_Toc471310923"/>
      <w:r>
        <w:rPr>
          <w:rFonts w:hint="eastAsia"/>
        </w:rPr>
        <w:t>（四）2016届毕业生就业岗位分布</w:t>
      </w:r>
      <w:bookmarkEnd w:id="63"/>
      <w:bookmarkEnd w:id="64"/>
      <w:r>
        <w:rPr>
          <w:rFonts w:hint="eastAsia"/>
        </w:rPr>
        <w:tab/>
      </w:r>
    </w:p>
    <w:p>
      <w:pPr>
        <w:pStyle w:val="40"/>
      </w:pPr>
      <w:r>
        <w:rPr>
          <w:rFonts w:hint="eastAsia"/>
        </w:rPr>
        <w:t>2016届</w:t>
      </w:r>
      <w:r>
        <w:t>毕业生</w:t>
      </w:r>
      <w:r>
        <w:rPr>
          <w:rFonts w:hint="eastAsia"/>
        </w:rPr>
        <w:t>中</w:t>
      </w:r>
      <w:r>
        <w:t>，</w:t>
      </w:r>
      <w:r>
        <w:rPr>
          <w:rFonts w:hint="eastAsia"/>
        </w:rPr>
        <w:t>就业岗位</w:t>
      </w:r>
      <w:r>
        <w:t>以其他不便于分类人员</w:t>
      </w:r>
      <w:r>
        <w:rPr>
          <w:rFonts w:hint="eastAsia"/>
        </w:rPr>
        <w:t>和</w:t>
      </w:r>
      <w:r>
        <w:t>“</w:t>
      </w:r>
      <w:r>
        <w:rPr>
          <w:rFonts w:hint="eastAsia"/>
        </w:rPr>
        <w:t>其他</w:t>
      </w:r>
      <w:r>
        <w:t>技术人员”</w:t>
      </w:r>
      <w:r>
        <w:rPr>
          <w:rFonts w:hint="eastAsia"/>
        </w:rPr>
        <w:t>占比</w:t>
      </w:r>
      <w:r>
        <w:t>最高</w:t>
      </w:r>
      <w:r>
        <w:rPr>
          <w:rFonts w:hint="eastAsia"/>
        </w:rPr>
        <w:t>，</w:t>
      </w:r>
      <w:r>
        <w:t>分别为</w:t>
      </w:r>
      <w:r>
        <w:rPr>
          <w:rFonts w:hint="eastAsia"/>
        </w:rPr>
        <w:t>51.41</w:t>
      </w:r>
      <w:r>
        <w:t>%和</w:t>
      </w:r>
      <w:r>
        <w:rPr>
          <w:rFonts w:hint="eastAsia"/>
        </w:rPr>
        <w:t>28.67</w:t>
      </w:r>
      <w:r>
        <w:t>%</w:t>
      </w:r>
      <w:r>
        <w:rPr>
          <w:rFonts w:hint="eastAsia"/>
        </w:rPr>
        <w:t>。</w:t>
      </w:r>
      <w:r>
        <w:t>此外</w:t>
      </w:r>
      <w:r>
        <w:rPr>
          <w:rFonts w:hint="eastAsia"/>
        </w:rPr>
        <w:t>，“金融业务人员”“办事</w:t>
      </w:r>
      <w:r>
        <w:t>人员和有关人员</w:t>
      </w:r>
      <w:r>
        <w:rPr>
          <w:rFonts w:hint="eastAsia"/>
        </w:rPr>
        <w:t>” “经济</w:t>
      </w:r>
      <w:r>
        <w:t>业务人员</w:t>
      </w:r>
      <w:r>
        <w:rPr>
          <w:rFonts w:hint="eastAsia"/>
        </w:rPr>
        <w:t>”“商业</w:t>
      </w:r>
      <w:r>
        <w:t>和服务人员</w:t>
      </w:r>
      <w:r>
        <w:rPr>
          <w:rFonts w:hint="eastAsia"/>
        </w:rPr>
        <w:t>”及</w:t>
      </w:r>
      <w:r>
        <w:t>“</w:t>
      </w:r>
      <w:r>
        <w:rPr>
          <w:rFonts w:hint="eastAsia"/>
        </w:rPr>
        <w:t>教学人员</w:t>
      </w:r>
      <w:r>
        <w:t>”</w:t>
      </w:r>
      <w:r>
        <w:rPr>
          <w:rFonts w:hint="eastAsia"/>
        </w:rPr>
        <w:t>也</w:t>
      </w:r>
      <w:r>
        <w:t>占有一定比例。其余</w:t>
      </w:r>
      <w:r>
        <w:rPr>
          <w:rFonts w:hint="eastAsia"/>
        </w:rPr>
        <w:t>职位</w:t>
      </w:r>
      <w:r>
        <w:t>占比均不足</w:t>
      </w:r>
      <w:r>
        <w:rPr>
          <w:rFonts w:hint="eastAsia"/>
        </w:rPr>
        <w:t>1.00</w:t>
      </w:r>
      <w:r>
        <w:t>%。</w:t>
      </w:r>
    </w:p>
    <w:p>
      <w:pPr>
        <w:spacing w:before="156" w:after="156"/>
      </w:pPr>
      <w:r>
        <w:drawing>
          <wp:inline distT="0" distB="0" distL="0" distR="0">
            <wp:extent cx="5543550" cy="4010025"/>
            <wp:effectExtent l="0" t="0" r="0" b="952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pStyle w:val="8"/>
        <w:jc w:val="center"/>
        <w:rPr>
          <w:rFonts w:asciiTheme="minorEastAsia" w:hAnsiTheme="minorEastAsia" w:eastAsiaTheme="minorEastAsia"/>
          <w:sz w:val="18"/>
        </w:rPr>
      </w:pPr>
      <w:bookmarkStart w:id="65" w:name="_Toc470887054"/>
      <w:r>
        <w:rPr>
          <w:rFonts w:hint="eastAsia" w:asciiTheme="minorEastAsia" w:hAnsiTheme="minorEastAsia" w:eastAsiaTheme="minorEastAsia"/>
          <w:sz w:val="18"/>
        </w:rPr>
        <w:t>图2-</w:t>
      </w:r>
      <w:r>
        <w:rPr>
          <w:rFonts w:asciiTheme="minorEastAsia" w:hAnsiTheme="minorEastAsia" w:eastAsiaTheme="minorEastAsia"/>
          <w:sz w:val="18"/>
        </w:rPr>
        <w:fldChar w:fldCharType="begin"/>
      </w:r>
      <w:r>
        <w:rPr>
          <w:rFonts w:asciiTheme="minorEastAsia" w:hAnsiTheme="minorEastAsia" w:eastAsiaTheme="minorEastAsia"/>
          <w:sz w:val="18"/>
        </w:rPr>
        <w:instrText xml:space="preserve"> </w:instrText>
      </w:r>
      <w:r>
        <w:rPr>
          <w:rFonts w:hint="eastAsia" w:asciiTheme="minorEastAsia" w:hAnsiTheme="minorEastAsia" w:eastAsiaTheme="minorEastAsia"/>
          <w:sz w:val="18"/>
        </w:rPr>
        <w:instrText xml:space="preserve">SEQ 图2- \* ARABIC</w:instrText>
      </w:r>
      <w:r>
        <w:rPr>
          <w:rFonts w:asciiTheme="minorEastAsia" w:hAnsiTheme="minorEastAsia" w:eastAsiaTheme="minorEastAsia"/>
          <w:sz w:val="18"/>
        </w:rPr>
        <w:instrText xml:space="preserve"> </w:instrText>
      </w:r>
      <w:r>
        <w:rPr>
          <w:rFonts w:asciiTheme="minorEastAsia" w:hAnsiTheme="minorEastAsia" w:eastAsiaTheme="minorEastAsia"/>
          <w:sz w:val="18"/>
        </w:rPr>
        <w:fldChar w:fldCharType="separate"/>
      </w:r>
      <w:r>
        <w:rPr>
          <w:rFonts w:asciiTheme="minorEastAsia" w:hAnsiTheme="minorEastAsia" w:eastAsiaTheme="minorEastAsia"/>
          <w:sz w:val="18"/>
        </w:rPr>
        <w:t>9</w:t>
      </w:r>
      <w:r>
        <w:rPr>
          <w:rFonts w:asciiTheme="minorEastAsia" w:hAnsiTheme="minorEastAsia" w:eastAsiaTheme="minorEastAsia"/>
          <w:sz w:val="18"/>
        </w:rPr>
        <w:fldChar w:fldCharType="end"/>
      </w:r>
      <w:r>
        <w:rPr>
          <w:rFonts w:asciiTheme="minorEastAsia" w:hAnsiTheme="minorEastAsia" w:eastAsiaTheme="minorEastAsia"/>
          <w:sz w:val="18"/>
        </w:rPr>
        <w:t xml:space="preserve"> </w:t>
      </w:r>
      <w:r>
        <w:rPr>
          <w:rFonts w:hint="eastAsia" w:asciiTheme="minorEastAsia" w:hAnsiTheme="minorEastAsia" w:eastAsiaTheme="minorEastAsia"/>
          <w:sz w:val="18"/>
        </w:rPr>
        <w:t>2016届毕业生就业岗位分布</w:t>
      </w:r>
      <w:bookmarkEnd w:id="65"/>
    </w:p>
    <w:p>
      <w:pPr>
        <w:pStyle w:val="25"/>
      </w:pPr>
      <w:bookmarkStart w:id="66" w:name="_Toc471310924"/>
      <w:bookmarkStart w:id="67" w:name="_Toc469038323"/>
      <w:r>
        <w:rPr>
          <w:rFonts w:hint="eastAsia"/>
        </w:rPr>
        <w:t>四、继续深造情况分析</w:t>
      </w:r>
      <w:bookmarkEnd w:id="66"/>
      <w:bookmarkEnd w:id="67"/>
    </w:p>
    <w:p>
      <w:pPr>
        <w:pStyle w:val="30"/>
      </w:pPr>
      <w:bookmarkStart w:id="68" w:name="_Toc471310925"/>
      <w:bookmarkStart w:id="69" w:name="_Toc469038324"/>
      <w:r>
        <w:rPr>
          <w:rFonts w:hint="eastAsia"/>
        </w:rPr>
        <w:t>（一</w:t>
      </w:r>
      <w:r>
        <w:t>）</w:t>
      </w:r>
      <w:r>
        <w:rPr>
          <w:rFonts w:hint="eastAsia"/>
        </w:rPr>
        <w:t>升学情况分析</w:t>
      </w:r>
      <w:bookmarkEnd w:id="68"/>
      <w:bookmarkEnd w:id="69"/>
    </w:p>
    <w:p>
      <w:pPr>
        <w:pStyle w:val="33"/>
      </w:pPr>
      <w:bookmarkStart w:id="70" w:name="_Toc469038325"/>
      <w:r>
        <w:rPr>
          <w:rFonts w:hint="eastAsia"/>
        </w:rPr>
        <w:t>1.升学</w:t>
      </w:r>
      <w:r>
        <w:t>热门学校选择</w:t>
      </w:r>
      <w:bookmarkEnd w:id="70"/>
    </w:p>
    <w:p>
      <w:pPr>
        <w:pStyle w:val="40"/>
      </w:pPr>
      <w:r>
        <w:rPr>
          <w:rFonts w:hint="eastAsia"/>
        </w:rPr>
        <w:t>由下图升学</w:t>
      </w:r>
      <w:r>
        <w:t>毕业生</w:t>
      </w:r>
      <w:r>
        <w:rPr>
          <w:rFonts w:hint="eastAsia"/>
        </w:rPr>
        <w:t>人数</w:t>
      </w:r>
      <w:r>
        <w:t>分布前十名可看出，</w:t>
      </w:r>
      <w:r>
        <w:rPr>
          <w:rFonts w:hint="eastAsia"/>
        </w:rPr>
        <w:t>2</w:t>
      </w:r>
      <w:r>
        <w:t>016</w:t>
      </w:r>
      <w:r>
        <w:rPr>
          <w:rFonts w:hint="eastAsia"/>
        </w:rPr>
        <w:t>届选择</w:t>
      </w:r>
      <w:r>
        <w:t>升学</w:t>
      </w:r>
      <w:r>
        <w:rPr>
          <w:rFonts w:hint="eastAsia"/>
        </w:rPr>
        <w:t>的</w:t>
      </w:r>
      <w:r>
        <w:t>毕业生</w:t>
      </w:r>
      <w:r>
        <w:rPr>
          <w:rFonts w:hint="eastAsia"/>
        </w:rPr>
        <w:t>中</w:t>
      </w:r>
      <w:r>
        <w:t>，选择人数最多的学校为湖南商学院，</w:t>
      </w:r>
      <w:r>
        <w:rPr>
          <w:rFonts w:hint="eastAsia"/>
        </w:rPr>
        <w:t>有19人</w:t>
      </w:r>
      <w:r>
        <w:t>，湖南大学居次，有</w:t>
      </w:r>
      <w:r>
        <w:rPr>
          <w:rFonts w:hint="eastAsia"/>
        </w:rPr>
        <w:t>16人。另外</w:t>
      </w:r>
      <w:r>
        <w:t>，</w:t>
      </w:r>
      <w:r>
        <w:rPr>
          <w:rFonts w:hint="eastAsia"/>
        </w:rPr>
        <w:t>湖南师范大学</w:t>
      </w:r>
      <w:r>
        <w:t>、中南大学、湘潭大学和长沙理工大学的人数均在</w:t>
      </w:r>
      <w:r>
        <w:rPr>
          <w:rFonts w:hint="eastAsia"/>
        </w:rPr>
        <w:t>10人</w:t>
      </w:r>
      <w:r>
        <w:t>以上。</w:t>
      </w:r>
    </w:p>
    <w:p>
      <w:pPr>
        <w:spacing w:before="156" w:after="156"/>
      </w:pPr>
    </w:p>
    <w:p>
      <w:pPr>
        <w:spacing w:before="156" w:after="156"/>
        <w:jc w:val="center"/>
      </w:pPr>
      <w:r>
        <w:drawing>
          <wp:inline distT="0" distB="0" distL="0" distR="0">
            <wp:extent cx="4524375" cy="3257550"/>
            <wp:effectExtent l="0" t="0" r="9525" b="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pStyle w:val="8"/>
        <w:jc w:val="center"/>
        <w:rPr>
          <w:rFonts w:asciiTheme="minorEastAsia" w:hAnsiTheme="minorEastAsia" w:eastAsiaTheme="minorEastAsia"/>
          <w:sz w:val="18"/>
          <w:szCs w:val="18"/>
        </w:rPr>
      </w:pPr>
      <w:bookmarkStart w:id="71" w:name="_Toc470887055"/>
      <w:r>
        <w:rPr>
          <w:rFonts w:hint="eastAsia" w:asciiTheme="minorEastAsia" w:hAnsiTheme="minorEastAsia" w:eastAsiaTheme="minorEastAsia"/>
          <w:sz w:val="18"/>
          <w:szCs w:val="18"/>
        </w:rPr>
        <w:t>图2-</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图2-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10</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2016届</w:t>
      </w:r>
      <w:r>
        <w:rPr>
          <w:rFonts w:asciiTheme="minorEastAsia" w:hAnsiTheme="minorEastAsia" w:eastAsiaTheme="minorEastAsia"/>
          <w:sz w:val="18"/>
          <w:szCs w:val="18"/>
        </w:rPr>
        <w:t>选择升学毕业生</w:t>
      </w:r>
      <w:r>
        <w:rPr>
          <w:rFonts w:hint="eastAsia" w:asciiTheme="minorEastAsia" w:hAnsiTheme="minorEastAsia" w:eastAsiaTheme="minorEastAsia"/>
          <w:sz w:val="18"/>
          <w:szCs w:val="18"/>
        </w:rPr>
        <w:t>升学人数</w:t>
      </w:r>
      <w:r>
        <w:rPr>
          <w:rFonts w:asciiTheme="minorEastAsia" w:hAnsiTheme="minorEastAsia" w:eastAsiaTheme="minorEastAsia"/>
          <w:sz w:val="18"/>
          <w:szCs w:val="18"/>
        </w:rPr>
        <w:t>分布</w:t>
      </w:r>
      <w:r>
        <w:rPr>
          <w:rFonts w:hint="eastAsia" w:asciiTheme="minorEastAsia" w:hAnsiTheme="minorEastAsia" w:eastAsiaTheme="minorEastAsia"/>
          <w:sz w:val="18"/>
          <w:szCs w:val="18"/>
        </w:rPr>
        <w:t>前十名</w:t>
      </w:r>
      <w:r>
        <w:rPr>
          <w:rFonts w:asciiTheme="minorEastAsia" w:hAnsiTheme="minorEastAsia" w:eastAsiaTheme="minorEastAsia"/>
          <w:sz w:val="18"/>
          <w:szCs w:val="18"/>
        </w:rPr>
        <w:t>学校</w:t>
      </w:r>
      <w:bookmarkEnd w:id="71"/>
    </w:p>
    <w:p>
      <w:pPr>
        <w:spacing w:before="156" w:after="156"/>
        <w:rPr>
          <w:sz w:val="18"/>
          <w:szCs w:val="18"/>
        </w:rPr>
      </w:pPr>
      <w:r>
        <w:rPr>
          <w:rFonts w:hint="eastAsia"/>
          <w:sz w:val="18"/>
          <w:szCs w:val="18"/>
        </w:rPr>
        <w:t>注</w:t>
      </w:r>
      <w:r>
        <w:rPr>
          <w:sz w:val="18"/>
          <w:szCs w:val="18"/>
        </w:rPr>
        <w:t>：</w:t>
      </w:r>
      <w:r>
        <w:rPr>
          <w:rFonts w:hint="eastAsia"/>
          <w:sz w:val="18"/>
          <w:szCs w:val="18"/>
        </w:rPr>
        <w:t>因为专科生</w:t>
      </w:r>
      <w:r>
        <w:rPr>
          <w:sz w:val="18"/>
          <w:szCs w:val="18"/>
        </w:rPr>
        <w:t>较少</w:t>
      </w:r>
      <w:r>
        <w:rPr>
          <w:rFonts w:hint="eastAsia"/>
          <w:sz w:val="18"/>
          <w:szCs w:val="18"/>
        </w:rPr>
        <w:t>且</w:t>
      </w:r>
      <w:r>
        <w:rPr>
          <w:sz w:val="18"/>
          <w:szCs w:val="18"/>
        </w:rPr>
        <w:t>分布较集中，因此不</w:t>
      </w:r>
      <w:r>
        <w:rPr>
          <w:rFonts w:hint="eastAsia"/>
          <w:sz w:val="18"/>
          <w:szCs w:val="18"/>
        </w:rPr>
        <w:t>在</w:t>
      </w:r>
      <w:r>
        <w:rPr>
          <w:sz w:val="18"/>
          <w:szCs w:val="18"/>
        </w:rPr>
        <w:t>图中体现。</w:t>
      </w:r>
    </w:p>
    <w:p>
      <w:pPr>
        <w:pStyle w:val="33"/>
      </w:pPr>
      <w:bookmarkStart w:id="72" w:name="_Toc469038326"/>
      <w:r>
        <w:rPr>
          <w:rFonts w:hint="eastAsia"/>
        </w:rPr>
        <w:t>2.选择</w:t>
      </w:r>
      <w:r>
        <w:t>升学毕业生</w:t>
      </w:r>
      <w:r>
        <w:rPr>
          <w:rFonts w:hint="eastAsia"/>
        </w:rPr>
        <w:t>专业</w:t>
      </w:r>
      <w:r>
        <w:t>分布</w:t>
      </w:r>
      <w:bookmarkEnd w:id="72"/>
    </w:p>
    <w:p>
      <w:pPr>
        <w:pStyle w:val="40"/>
      </w:pPr>
      <w:r>
        <w:rPr>
          <w:rFonts w:hint="eastAsia"/>
        </w:rPr>
        <w:t>选择</w:t>
      </w:r>
      <w:r>
        <w:t>升学的毕业</w:t>
      </w:r>
      <w:r>
        <w:rPr>
          <w:rFonts w:hint="eastAsia"/>
        </w:rPr>
        <w:t>生</w:t>
      </w:r>
      <w:r>
        <w:t>中</w:t>
      </w:r>
      <w:r>
        <w:rPr>
          <w:rFonts w:hint="eastAsia"/>
        </w:rPr>
        <w:t>，占比</w:t>
      </w:r>
      <w:r>
        <w:t>排名前三的专业为</w:t>
      </w:r>
      <w:r>
        <w:rPr>
          <w:rFonts w:hint="eastAsia"/>
        </w:rPr>
        <w:t>会计学</w:t>
      </w:r>
      <w:r>
        <w:t>、金融学和财务管理专业，所占</w:t>
      </w:r>
      <w:r>
        <w:rPr>
          <w:rFonts w:hint="eastAsia"/>
        </w:rPr>
        <w:t>升学</w:t>
      </w:r>
      <w:r>
        <w:t>总人数比例分别为</w:t>
      </w:r>
      <w:r>
        <w:rPr>
          <w:rFonts w:hint="eastAsia"/>
        </w:rPr>
        <w:t>19.88</w:t>
      </w:r>
      <w:r>
        <w:t>%、14.62%</w:t>
      </w:r>
      <w:r>
        <w:rPr>
          <w:rFonts w:hint="eastAsia"/>
        </w:rPr>
        <w:t>和8.77</w:t>
      </w:r>
      <w:r>
        <w:t>%</w:t>
      </w:r>
      <w:r>
        <w:rPr>
          <w:rFonts w:hint="eastAsia"/>
        </w:rPr>
        <w:t>。另外升学</w:t>
      </w:r>
      <w:r>
        <w:t>人数</w:t>
      </w:r>
      <w:r>
        <w:rPr>
          <w:rFonts w:hint="eastAsia"/>
        </w:rPr>
        <w:t>分布</w:t>
      </w:r>
      <w:r>
        <w:t>比例较高</w:t>
      </w:r>
      <w:r>
        <w:rPr>
          <w:rFonts w:hint="eastAsia"/>
        </w:rPr>
        <w:t>的</w:t>
      </w:r>
      <w:r>
        <w:t>专业见图</w:t>
      </w:r>
      <w:r>
        <w:rPr>
          <w:rFonts w:hint="eastAsia"/>
        </w:rPr>
        <w:t>2</w:t>
      </w:r>
      <w:r>
        <w:t>-11。</w:t>
      </w:r>
    </w:p>
    <w:p>
      <w:pPr>
        <w:spacing w:before="156" w:after="156"/>
      </w:pPr>
    </w:p>
    <w:p>
      <w:pPr>
        <w:spacing w:before="156" w:after="156"/>
        <w:jc w:val="center"/>
      </w:pPr>
      <w:r>
        <w:drawing>
          <wp:inline distT="0" distB="0" distL="0" distR="0">
            <wp:extent cx="4814570" cy="3609975"/>
            <wp:effectExtent l="0" t="0" r="5080" b="9525"/>
            <wp:docPr id="75" name="图表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pStyle w:val="8"/>
        <w:jc w:val="center"/>
        <w:rPr>
          <w:rFonts w:asciiTheme="minorEastAsia" w:hAnsiTheme="minorEastAsia" w:eastAsiaTheme="minorEastAsia"/>
          <w:sz w:val="18"/>
        </w:rPr>
      </w:pPr>
      <w:bookmarkStart w:id="73" w:name="_Toc470887056"/>
      <w:r>
        <w:rPr>
          <w:rFonts w:hint="eastAsia" w:asciiTheme="minorEastAsia" w:hAnsiTheme="minorEastAsia" w:eastAsiaTheme="minorEastAsia"/>
          <w:sz w:val="18"/>
        </w:rPr>
        <w:t>图2-</w:t>
      </w:r>
      <w:r>
        <w:rPr>
          <w:rFonts w:asciiTheme="minorEastAsia" w:hAnsiTheme="minorEastAsia" w:eastAsiaTheme="minorEastAsia"/>
          <w:sz w:val="18"/>
        </w:rPr>
        <w:fldChar w:fldCharType="begin"/>
      </w:r>
      <w:r>
        <w:rPr>
          <w:rFonts w:asciiTheme="minorEastAsia" w:hAnsiTheme="minorEastAsia" w:eastAsiaTheme="minorEastAsia"/>
          <w:sz w:val="18"/>
        </w:rPr>
        <w:instrText xml:space="preserve"> </w:instrText>
      </w:r>
      <w:r>
        <w:rPr>
          <w:rFonts w:hint="eastAsia" w:asciiTheme="minorEastAsia" w:hAnsiTheme="minorEastAsia" w:eastAsiaTheme="minorEastAsia"/>
          <w:sz w:val="18"/>
        </w:rPr>
        <w:instrText xml:space="preserve">SEQ 图2- \* ARABIC</w:instrText>
      </w:r>
      <w:r>
        <w:rPr>
          <w:rFonts w:asciiTheme="minorEastAsia" w:hAnsiTheme="minorEastAsia" w:eastAsiaTheme="minorEastAsia"/>
          <w:sz w:val="18"/>
        </w:rPr>
        <w:instrText xml:space="preserve"> </w:instrText>
      </w:r>
      <w:r>
        <w:rPr>
          <w:rFonts w:asciiTheme="minorEastAsia" w:hAnsiTheme="minorEastAsia" w:eastAsiaTheme="minorEastAsia"/>
          <w:sz w:val="18"/>
        </w:rPr>
        <w:fldChar w:fldCharType="separate"/>
      </w:r>
      <w:r>
        <w:rPr>
          <w:rFonts w:asciiTheme="minorEastAsia" w:hAnsiTheme="minorEastAsia" w:eastAsiaTheme="minorEastAsia"/>
          <w:sz w:val="18"/>
        </w:rPr>
        <w:t>11</w:t>
      </w:r>
      <w:r>
        <w:rPr>
          <w:rFonts w:asciiTheme="minorEastAsia" w:hAnsiTheme="minorEastAsia" w:eastAsiaTheme="minorEastAsia"/>
          <w:sz w:val="18"/>
        </w:rPr>
        <w:fldChar w:fldCharType="end"/>
      </w:r>
      <w:r>
        <w:rPr>
          <w:rFonts w:asciiTheme="minorEastAsia" w:hAnsiTheme="minorEastAsia" w:eastAsiaTheme="minorEastAsia"/>
          <w:sz w:val="18"/>
        </w:rPr>
        <w:t xml:space="preserve"> 2016</w:t>
      </w:r>
      <w:r>
        <w:rPr>
          <w:rFonts w:hint="eastAsia" w:asciiTheme="minorEastAsia" w:hAnsiTheme="minorEastAsia" w:eastAsiaTheme="minorEastAsia"/>
          <w:sz w:val="18"/>
        </w:rPr>
        <w:t>届选择</w:t>
      </w:r>
      <w:r>
        <w:rPr>
          <w:rFonts w:asciiTheme="minorEastAsia" w:hAnsiTheme="minorEastAsia" w:eastAsiaTheme="minorEastAsia"/>
          <w:sz w:val="18"/>
        </w:rPr>
        <w:t>升学</w:t>
      </w:r>
      <w:r>
        <w:rPr>
          <w:rFonts w:hint="eastAsia" w:asciiTheme="minorEastAsia" w:hAnsiTheme="minorEastAsia" w:eastAsiaTheme="minorEastAsia"/>
          <w:sz w:val="18"/>
        </w:rPr>
        <w:t>本科</w:t>
      </w:r>
      <w:r>
        <w:rPr>
          <w:rFonts w:asciiTheme="minorEastAsia" w:hAnsiTheme="minorEastAsia" w:eastAsiaTheme="minorEastAsia"/>
          <w:sz w:val="18"/>
        </w:rPr>
        <w:t>毕业生</w:t>
      </w:r>
      <w:r>
        <w:rPr>
          <w:rFonts w:hint="eastAsia" w:asciiTheme="minorEastAsia" w:hAnsiTheme="minorEastAsia" w:eastAsiaTheme="minorEastAsia"/>
          <w:sz w:val="18"/>
        </w:rPr>
        <w:t>专业占比</w:t>
      </w:r>
      <w:r>
        <w:rPr>
          <w:rFonts w:asciiTheme="minorEastAsia" w:hAnsiTheme="minorEastAsia" w:eastAsiaTheme="minorEastAsia"/>
          <w:sz w:val="18"/>
        </w:rPr>
        <w:t>前十名分布</w:t>
      </w:r>
      <w:bookmarkEnd w:id="73"/>
    </w:p>
    <w:p>
      <w:pPr>
        <w:pStyle w:val="33"/>
      </w:pPr>
      <w:bookmarkStart w:id="74" w:name="_Toc469038327"/>
      <w:r>
        <w:rPr>
          <w:rFonts w:hint="eastAsia"/>
        </w:rPr>
        <w:t>3.升学毕业生选择大学</w:t>
      </w:r>
      <w:r>
        <w:t>所在省份分布</w:t>
      </w:r>
      <w:bookmarkEnd w:id="74"/>
    </w:p>
    <w:p>
      <w:pPr>
        <w:pStyle w:val="40"/>
      </w:pPr>
      <w:r>
        <w:rPr>
          <w:rFonts w:hint="eastAsia"/>
        </w:rPr>
        <w:t>2</w:t>
      </w:r>
      <w:r>
        <w:t>016</w:t>
      </w:r>
      <w:r>
        <w:rPr>
          <w:rFonts w:hint="eastAsia"/>
        </w:rPr>
        <w:t>届选择</w:t>
      </w:r>
      <w:r>
        <w:t>升学的毕业生</w:t>
      </w:r>
      <w:r>
        <w:rPr>
          <w:rFonts w:hint="eastAsia"/>
        </w:rPr>
        <w:t>去往</w:t>
      </w:r>
      <w:r>
        <w:t>省外大学和留在省内的比例较为接近，</w:t>
      </w:r>
      <w:r>
        <w:rPr>
          <w:rFonts w:hint="eastAsia"/>
        </w:rPr>
        <w:t>其中选择</w:t>
      </w:r>
      <w:r>
        <w:t>外省大学</w:t>
      </w:r>
      <w:r>
        <w:rPr>
          <w:rFonts w:hint="eastAsia"/>
        </w:rPr>
        <w:t>的</w:t>
      </w:r>
      <w:r>
        <w:t>有</w:t>
      </w:r>
      <w:r>
        <w:rPr>
          <w:rFonts w:hint="eastAsia"/>
        </w:rPr>
        <w:t>77人</w:t>
      </w:r>
      <w:r>
        <w:t>，占比</w:t>
      </w:r>
      <w:r>
        <w:rPr>
          <w:rFonts w:hint="eastAsia"/>
        </w:rPr>
        <w:t>45.03</w:t>
      </w:r>
      <w:r>
        <w:t>%，</w:t>
      </w:r>
      <w:r>
        <w:rPr>
          <w:rFonts w:hint="eastAsia"/>
        </w:rPr>
        <w:t>留在</w:t>
      </w:r>
      <w:r>
        <w:t>湖南省内的有</w:t>
      </w:r>
      <w:r>
        <w:rPr>
          <w:rFonts w:hint="eastAsia"/>
        </w:rPr>
        <w:t>94人</w:t>
      </w:r>
      <w:r>
        <w:t>，占比</w:t>
      </w:r>
      <w:r>
        <w:rPr>
          <w:rFonts w:hint="eastAsia"/>
        </w:rPr>
        <w:t>5</w:t>
      </w:r>
      <w:r>
        <w:t>4.97%。</w:t>
      </w:r>
      <w:r>
        <w:rPr>
          <w:rFonts w:hint="eastAsia"/>
        </w:rPr>
        <w:t>而在</w:t>
      </w:r>
      <w:r>
        <w:t>外省大学中，选择广东省</w:t>
      </w:r>
      <w:r>
        <w:rPr>
          <w:rFonts w:hint="eastAsia"/>
        </w:rPr>
        <w:t>和</w:t>
      </w:r>
      <w:r>
        <w:t>上海</w:t>
      </w:r>
      <w:r>
        <w:rPr>
          <w:rFonts w:hint="eastAsia"/>
        </w:rPr>
        <w:t>市</w:t>
      </w:r>
      <w:r>
        <w:t>的人数多于</w:t>
      </w:r>
      <w:r>
        <w:rPr>
          <w:rFonts w:hint="eastAsia"/>
        </w:rPr>
        <w:t>10人</w:t>
      </w:r>
      <w:r>
        <w:t>，分别为</w:t>
      </w:r>
      <w:r>
        <w:rPr>
          <w:rFonts w:hint="eastAsia"/>
        </w:rPr>
        <w:t>28人</w:t>
      </w:r>
      <w:r>
        <w:t>和</w:t>
      </w:r>
      <w:r>
        <w:rPr>
          <w:rFonts w:hint="eastAsia"/>
        </w:rPr>
        <w:t>14人</w:t>
      </w:r>
      <w:r>
        <w:t>。具体</w:t>
      </w:r>
      <w:r>
        <w:rPr>
          <w:rFonts w:hint="eastAsia"/>
        </w:rPr>
        <w:t>情况</w:t>
      </w:r>
      <w:r>
        <w:t>见图</w:t>
      </w:r>
      <w:r>
        <w:rPr>
          <w:rFonts w:hint="eastAsia"/>
        </w:rPr>
        <w:t>2</w:t>
      </w:r>
      <w:r>
        <w:t>-12。</w:t>
      </w:r>
      <w:r>
        <w:rPr>
          <w:rFonts w:hint="eastAsia"/>
        </w:rPr>
        <w:t>注</w:t>
      </w:r>
      <w:r>
        <w:t>：</w:t>
      </w:r>
      <w:r>
        <w:rPr>
          <w:rFonts w:hint="eastAsia"/>
        </w:rPr>
        <w:t>仅分析本科生。</w:t>
      </w:r>
    </w:p>
    <w:p>
      <w:pPr>
        <w:spacing w:before="156" w:after="156"/>
      </w:pPr>
    </w:p>
    <w:p>
      <w:pPr>
        <w:spacing w:before="156" w:after="156"/>
        <w:jc w:val="center"/>
      </w:pPr>
      <w:r>
        <w:drawing>
          <wp:inline distT="0" distB="0" distL="0" distR="0">
            <wp:extent cx="4799965" cy="3733165"/>
            <wp:effectExtent l="0" t="0" r="635"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8"/>
                    <a:stretch>
                      <a:fillRect/>
                    </a:stretch>
                  </pic:blipFill>
                  <pic:spPr>
                    <a:xfrm>
                      <a:off x="0" y="0"/>
                      <a:ext cx="4800000" cy="3733333"/>
                    </a:xfrm>
                    <a:prstGeom prst="rect">
                      <a:avLst/>
                    </a:prstGeom>
                  </pic:spPr>
                </pic:pic>
              </a:graphicData>
            </a:graphic>
          </wp:inline>
        </w:drawing>
      </w:r>
    </w:p>
    <w:p>
      <w:pPr>
        <w:pStyle w:val="8"/>
        <w:jc w:val="center"/>
        <w:rPr>
          <w:rFonts w:asciiTheme="minorEastAsia" w:hAnsiTheme="minorEastAsia" w:eastAsiaTheme="minorEastAsia"/>
          <w:sz w:val="18"/>
          <w:szCs w:val="18"/>
        </w:rPr>
      </w:pPr>
      <w:bookmarkStart w:id="75" w:name="_Toc470887057"/>
      <w:r>
        <w:rPr>
          <w:rFonts w:hint="eastAsia" w:asciiTheme="minorEastAsia" w:hAnsiTheme="minorEastAsia" w:eastAsiaTheme="minorEastAsia"/>
          <w:sz w:val="18"/>
          <w:szCs w:val="18"/>
        </w:rPr>
        <w:t>图2-</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图2-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12</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2016</w:t>
      </w:r>
      <w:r>
        <w:rPr>
          <w:rFonts w:hint="eastAsia" w:asciiTheme="minorEastAsia" w:hAnsiTheme="minorEastAsia" w:eastAsiaTheme="minorEastAsia"/>
          <w:sz w:val="18"/>
          <w:szCs w:val="18"/>
        </w:rPr>
        <w:t>届升学本科毕业生选择大学</w:t>
      </w:r>
      <w:r>
        <w:rPr>
          <w:rFonts w:asciiTheme="minorEastAsia" w:hAnsiTheme="minorEastAsia" w:eastAsiaTheme="minorEastAsia"/>
          <w:sz w:val="18"/>
          <w:szCs w:val="18"/>
        </w:rPr>
        <w:t>所在省份分布</w:t>
      </w:r>
      <w:bookmarkEnd w:id="75"/>
    </w:p>
    <w:p>
      <w:pPr>
        <w:pStyle w:val="30"/>
        <w:spacing w:before="156" w:after="156"/>
      </w:pPr>
      <w:bookmarkStart w:id="76" w:name="_Toc471310926"/>
      <w:bookmarkStart w:id="77" w:name="_Toc469038328"/>
      <w:r>
        <w:rPr>
          <w:rFonts w:hint="eastAsia"/>
        </w:rPr>
        <w:t>（二</w:t>
      </w:r>
      <w:r>
        <w:t>）</w:t>
      </w:r>
      <w:r>
        <w:rPr>
          <w:rFonts w:hint="eastAsia"/>
        </w:rPr>
        <w:t>出国、</w:t>
      </w:r>
      <w:r>
        <w:t>出境情况分析</w:t>
      </w:r>
      <w:bookmarkEnd w:id="76"/>
      <w:bookmarkEnd w:id="77"/>
    </w:p>
    <w:p>
      <w:pPr>
        <w:pStyle w:val="33"/>
      </w:pPr>
      <w:bookmarkStart w:id="78" w:name="_Toc469038329"/>
      <w:r>
        <w:t>1.</w:t>
      </w:r>
      <w:r>
        <w:rPr>
          <w:rFonts w:hint="eastAsia"/>
        </w:rPr>
        <w:t>出国</w:t>
      </w:r>
      <w:r>
        <w:t>选择国家分布</w:t>
      </w:r>
      <w:bookmarkEnd w:id="78"/>
    </w:p>
    <w:p>
      <w:pPr>
        <w:pStyle w:val="40"/>
      </w:pPr>
      <w:r>
        <w:t>2016</w:t>
      </w:r>
      <w:r>
        <w:rPr>
          <w:rFonts w:hint="eastAsia"/>
        </w:rPr>
        <w:t>届</w:t>
      </w:r>
      <w:r>
        <w:t>选择出国出境</w:t>
      </w:r>
      <w:r>
        <w:rPr>
          <w:rFonts w:hint="eastAsia"/>
        </w:rPr>
        <w:t>的</w:t>
      </w:r>
      <w:r>
        <w:t>毕业生</w:t>
      </w:r>
      <w:r>
        <w:rPr>
          <w:rFonts w:hint="eastAsia"/>
        </w:rPr>
        <w:t>中</w:t>
      </w:r>
      <w:r>
        <w:t>，选择去英国的毕业生人数最多，有</w:t>
      </w:r>
      <w:r>
        <w:rPr>
          <w:rFonts w:hint="eastAsia"/>
        </w:rPr>
        <w:t>19人</w:t>
      </w:r>
      <w:r>
        <w:t>，占</w:t>
      </w:r>
      <w:r>
        <w:rPr>
          <w:rFonts w:hint="eastAsia"/>
        </w:rPr>
        <w:t>出国出境</w:t>
      </w:r>
      <w:r>
        <w:t>总人数比为</w:t>
      </w:r>
      <w:r>
        <w:rPr>
          <w:rFonts w:hint="eastAsia"/>
        </w:rPr>
        <w:t>29.23</w:t>
      </w:r>
      <w:r>
        <w:t>%；澳大利亚居次，有</w:t>
      </w:r>
      <w:r>
        <w:rPr>
          <w:rFonts w:hint="eastAsia"/>
        </w:rPr>
        <w:t>16人</w:t>
      </w:r>
      <w:r>
        <w:t>，占比</w:t>
      </w:r>
      <w:r>
        <w:rPr>
          <w:rFonts w:hint="eastAsia"/>
        </w:rPr>
        <w:t>24.62</w:t>
      </w:r>
      <w:r>
        <w:t>%。新西兰</w:t>
      </w:r>
      <w:r>
        <w:rPr>
          <w:rFonts w:hint="eastAsia"/>
        </w:rPr>
        <w:t>、</w:t>
      </w:r>
      <w:r>
        <w:t>尼日利亚和澳门各有一人。具体出国出境</w:t>
      </w:r>
      <w:r>
        <w:rPr>
          <w:rFonts w:hint="eastAsia"/>
        </w:rPr>
        <w:t>去</w:t>
      </w:r>
      <w:r>
        <w:t>向见</w:t>
      </w:r>
      <w:r>
        <w:rPr>
          <w:rFonts w:hint="eastAsia"/>
        </w:rPr>
        <w:t>图2</w:t>
      </w:r>
      <w:r>
        <w:t>-13。</w:t>
      </w:r>
    </w:p>
    <w:p>
      <w:pPr>
        <w:spacing w:before="156" w:after="156"/>
      </w:pPr>
    </w:p>
    <w:p>
      <w:pPr>
        <w:spacing w:before="156" w:after="156"/>
        <w:jc w:val="center"/>
      </w:pPr>
      <w:r>
        <w:drawing>
          <wp:inline distT="0" distB="0" distL="0" distR="0">
            <wp:extent cx="4890770" cy="3057525"/>
            <wp:effectExtent l="0" t="0" r="5080" b="9525"/>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8"/>
        <w:jc w:val="center"/>
        <w:rPr>
          <w:rFonts w:asciiTheme="minorEastAsia" w:hAnsiTheme="minorEastAsia" w:eastAsiaTheme="minorEastAsia"/>
          <w:sz w:val="18"/>
        </w:rPr>
      </w:pPr>
      <w:bookmarkStart w:id="79" w:name="_Toc470887058"/>
      <w:r>
        <w:rPr>
          <w:rFonts w:hint="eastAsia" w:asciiTheme="minorEastAsia" w:hAnsiTheme="minorEastAsia" w:eastAsiaTheme="minorEastAsia"/>
          <w:sz w:val="18"/>
        </w:rPr>
        <w:t>图2-</w:t>
      </w:r>
      <w:r>
        <w:rPr>
          <w:rFonts w:asciiTheme="minorEastAsia" w:hAnsiTheme="minorEastAsia" w:eastAsiaTheme="minorEastAsia"/>
          <w:sz w:val="18"/>
        </w:rPr>
        <w:fldChar w:fldCharType="begin"/>
      </w:r>
      <w:r>
        <w:rPr>
          <w:rFonts w:asciiTheme="minorEastAsia" w:hAnsiTheme="minorEastAsia" w:eastAsiaTheme="minorEastAsia"/>
          <w:sz w:val="18"/>
        </w:rPr>
        <w:instrText xml:space="preserve"> </w:instrText>
      </w:r>
      <w:r>
        <w:rPr>
          <w:rFonts w:hint="eastAsia" w:asciiTheme="minorEastAsia" w:hAnsiTheme="minorEastAsia" w:eastAsiaTheme="minorEastAsia"/>
          <w:sz w:val="18"/>
        </w:rPr>
        <w:instrText xml:space="preserve">SEQ 图2- \* ARABIC</w:instrText>
      </w:r>
      <w:r>
        <w:rPr>
          <w:rFonts w:asciiTheme="minorEastAsia" w:hAnsiTheme="minorEastAsia" w:eastAsiaTheme="minorEastAsia"/>
          <w:sz w:val="18"/>
        </w:rPr>
        <w:instrText xml:space="preserve"> </w:instrText>
      </w:r>
      <w:r>
        <w:rPr>
          <w:rFonts w:asciiTheme="minorEastAsia" w:hAnsiTheme="minorEastAsia" w:eastAsiaTheme="minorEastAsia"/>
          <w:sz w:val="18"/>
        </w:rPr>
        <w:fldChar w:fldCharType="separate"/>
      </w:r>
      <w:r>
        <w:rPr>
          <w:rFonts w:asciiTheme="minorEastAsia" w:hAnsiTheme="minorEastAsia" w:eastAsiaTheme="minorEastAsia"/>
          <w:sz w:val="18"/>
        </w:rPr>
        <w:t>13</w:t>
      </w:r>
      <w:r>
        <w:rPr>
          <w:rFonts w:asciiTheme="minorEastAsia" w:hAnsiTheme="minorEastAsia" w:eastAsiaTheme="minorEastAsia"/>
          <w:sz w:val="18"/>
        </w:rPr>
        <w:fldChar w:fldCharType="end"/>
      </w:r>
      <w:r>
        <w:rPr>
          <w:rFonts w:asciiTheme="minorEastAsia" w:hAnsiTheme="minorEastAsia" w:eastAsiaTheme="minorEastAsia"/>
          <w:sz w:val="18"/>
        </w:rPr>
        <w:t xml:space="preserve"> </w:t>
      </w:r>
      <w:r>
        <w:rPr>
          <w:rFonts w:hint="eastAsia" w:asciiTheme="minorEastAsia" w:hAnsiTheme="minorEastAsia" w:eastAsiaTheme="minorEastAsia"/>
          <w:sz w:val="18"/>
        </w:rPr>
        <w:t>2016届</w:t>
      </w:r>
      <w:r>
        <w:rPr>
          <w:rFonts w:asciiTheme="minorEastAsia" w:hAnsiTheme="minorEastAsia" w:eastAsiaTheme="minorEastAsia"/>
          <w:sz w:val="18"/>
        </w:rPr>
        <w:t>本科毕业生出国国家分布</w:t>
      </w:r>
      <w:bookmarkEnd w:id="79"/>
    </w:p>
    <w:p>
      <w:pPr>
        <w:pStyle w:val="33"/>
      </w:pPr>
      <w:bookmarkStart w:id="80" w:name="_Toc469038330"/>
      <w:r>
        <w:rPr>
          <w:rFonts w:hint="eastAsia"/>
        </w:rPr>
        <w:t>2.出国</w:t>
      </w:r>
      <w:r>
        <w:t>选择大学分布</w:t>
      </w:r>
      <w:bookmarkEnd w:id="80"/>
    </w:p>
    <w:p>
      <w:pPr>
        <w:pStyle w:val="40"/>
      </w:pPr>
      <w:r>
        <w:rPr>
          <w:rFonts w:hint="eastAsia"/>
        </w:rPr>
        <w:t>2016届选择</w:t>
      </w:r>
      <w:r>
        <w:t>出国出境的本科毕业生在选择学校时</w:t>
      </w:r>
      <w:r>
        <w:rPr>
          <w:rFonts w:hint="eastAsia"/>
        </w:rPr>
        <w:t>除</w:t>
      </w:r>
      <w:r>
        <w:t>人数最多的“</w:t>
      </w:r>
      <w:r>
        <w:rPr>
          <w:rFonts w:hint="eastAsia"/>
        </w:rPr>
        <w:t>其他</w:t>
      </w:r>
      <w:r>
        <w:t>大学”</w:t>
      </w:r>
      <w:r>
        <w:rPr>
          <w:rFonts w:hint="eastAsia"/>
        </w:rPr>
        <w:t>选项</w:t>
      </w:r>
      <w:r>
        <w:t>外，能够统计</w:t>
      </w:r>
      <w:r>
        <w:rPr>
          <w:rFonts w:hint="eastAsia"/>
        </w:rPr>
        <w:t>到</w:t>
      </w:r>
      <w:r>
        <w:t>的、选择人数最多的大学</w:t>
      </w:r>
      <w:r>
        <w:rPr>
          <w:rFonts w:hint="eastAsia"/>
        </w:rPr>
        <w:t>为</w:t>
      </w:r>
      <w:r>
        <w:t>悉尼大学，有</w:t>
      </w:r>
      <w:r>
        <w:rPr>
          <w:rFonts w:hint="eastAsia"/>
        </w:rPr>
        <w:t>6人</w:t>
      </w:r>
      <w:r>
        <w:t>，其次为莫纳什大学和香港浸会大学，各</w:t>
      </w:r>
      <w:r>
        <w:rPr>
          <w:rFonts w:hint="eastAsia"/>
        </w:rPr>
        <w:t>有</w:t>
      </w:r>
      <w:r>
        <w:t>4</w:t>
      </w:r>
      <w:r>
        <w:rPr>
          <w:rFonts w:hint="eastAsia"/>
        </w:rPr>
        <w:t>人</w:t>
      </w:r>
      <w:r>
        <w:t>，昆士兰大学和</w:t>
      </w:r>
      <w:r>
        <w:rPr>
          <w:rFonts w:hint="eastAsia"/>
        </w:rPr>
        <w:t>香港</w:t>
      </w:r>
      <w:r>
        <w:t>城市大学各</w:t>
      </w:r>
      <w:r>
        <w:rPr>
          <w:rFonts w:hint="eastAsia"/>
        </w:rPr>
        <w:t>3人</w:t>
      </w:r>
      <w:r>
        <w:t>，其余学校各有</w:t>
      </w:r>
      <w:r>
        <w:rPr>
          <w:rFonts w:hint="eastAsia"/>
        </w:rPr>
        <w:t>2</w:t>
      </w:r>
      <w:r>
        <w:t>人。具体</w:t>
      </w:r>
      <w:r>
        <w:rPr>
          <w:rFonts w:hint="eastAsia"/>
        </w:rPr>
        <w:t>分布</w:t>
      </w:r>
      <w:r>
        <w:t>情况见表</w:t>
      </w:r>
      <w:r>
        <w:rPr>
          <w:rFonts w:hint="eastAsia"/>
        </w:rPr>
        <w:t>2</w:t>
      </w:r>
      <w:r>
        <w:t>-4。</w:t>
      </w:r>
    </w:p>
    <w:p>
      <w:pPr>
        <w:pStyle w:val="8"/>
        <w:jc w:val="center"/>
        <w:rPr>
          <w:rFonts w:asciiTheme="minorEastAsia" w:hAnsiTheme="minorEastAsia" w:eastAsiaTheme="minorEastAsia"/>
          <w:sz w:val="18"/>
          <w:szCs w:val="18"/>
        </w:rPr>
      </w:pPr>
      <w:bookmarkStart w:id="81" w:name="_Toc470886989"/>
      <w:r>
        <w:rPr>
          <w:rFonts w:hint="eastAsia" w:asciiTheme="minorEastAsia" w:hAnsiTheme="minorEastAsia" w:eastAsiaTheme="minorEastAsia"/>
          <w:sz w:val="18"/>
          <w:szCs w:val="18"/>
        </w:rPr>
        <w:t>表2-</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表2-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4</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本科</w:t>
      </w:r>
      <w:r>
        <w:rPr>
          <w:rFonts w:asciiTheme="minorEastAsia" w:hAnsiTheme="minorEastAsia" w:eastAsiaTheme="minorEastAsia"/>
          <w:sz w:val="18"/>
          <w:szCs w:val="18"/>
        </w:rPr>
        <w:t>毕业生出国选择学校</w:t>
      </w:r>
      <w:bookmarkEnd w:id="81"/>
    </w:p>
    <w:tbl>
      <w:tblPr>
        <w:tblStyle w:val="50"/>
        <w:tblW w:w="8296" w:type="dxa"/>
        <w:tblInd w:w="0" w:type="dxa"/>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
      <w:tblGrid>
        <w:gridCol w:w="5757"/>
        <w:gridCol w:w="2539"/>
      </w:tblGrid>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5757" w:type="dxa"/>
            <w:tcBorders>
              <w:top w:val="single" w:color="ED7D31" w:themeColor="accent2" w:sz="4" w:space="0"/>
              <w:left w:val="single" w:color="ED7D31" w:themeColor="accent2" w:sz="4" w:space="0"/>
              <w:bottom w:val="single" w:color="ED7D31" w:themeColor="accent2" w:sz="4" w:space="0"/>
              <w:right w:val="nil"/>
              <w:insideH w:val="single" w:sz="4" w:space="0"/>
              <w:insideV w:val="nil"/>
            </w:tcBorders>
            <w:shd w:val="clear" w:color="auto" w:fill="ED7D31" w:themeFill="accent2"/>
            <w:vAlign w:val="center"/>
          </w:tcPr>
          <w:p>
            <w:pPr>
              <w:jc w:val="center"/>
              <w:rPr>
                <w:rFonts w:asciiTheme="minorEastAsia" w:hAnsiTheme="minorEastAsia"/>
                <w:b/>
                <w:bCs/>
                <w:color w:val="FFFFFF" w:themeColor="background1"/>
                <w:sz w:val="18"/>
                <w:szCs w:val="18"/>
                <w14:textFill>
                  <w14:solidFill>
                    <w14:schemeClr w14:val="bg1"/>
                  </w14:solidFill>
                </w14:textFill>
              </w:rPr>
            </w:pPr>
            <w:r>
              <w:rPr>
                <w:rFonts w:hint="eastAsia" w:asciiTheme="minorEastAsia" w:hAnsiTheme="minorEastAsia"/>
                <w:b/>
                <w:bCs/>
                <w:color w:val="FFFFFF" w:themeColor="background1"/>
                <w:sz w:val="18"/>
                <w:szCs w:val="18"/>
                <w14:textFill>
                  <w14:solidFill>
                    <w14:schemeClr w14:val="bg1"/>
                  </w14:solidFill>
                </w14:textFill>
              </w:rPr>
              <w:t>学校名称</w:t>
            </w:r>
          </w:p>
        </w:tc>
        <w:tc>
          <w:tcPr>
            <w:tcW w:w="2539" w:type="dxa"/>
            <w:tcBorders>
              <w:top w:val="single" w:color="ED7D31" w:themeColor="accent2" w:sz="4" w:space="0"/>
              <w:bottom w:val="single" w:color="ED7D31" w:themeColor="accent2" w:sz="4" w:space="0"/>
              <w:right w:val="single" w:color="ED7D31" w:themeColor="accent2" w:sz="4" w:space="0"/>
              <w:insideH w:val="single" w:sz="4" w:space="0"/>
              <w:insideV w:val="nil"/>
            </w:tcBorders>
            <w:shd w:val="clear" w:color="auto" w:fill="ED7D31" w:themeFill="accent2"/>
            <w:vAlign w:val="center"/>
          </w:tcPr>
          <w:p>
            <w:pPr>
              <w:jc w:val="center"/>
              <w:rPr>
                <w:rFonts w:asciiTheme="minorEastAsia" w:hAnsiTheme="minorEastAsia"/>
                <w:b/>
                <w:bCs/>
                <w:color w:val="FFFFFF" w:themeColor="background1"/>
                <w:sz w:val="18"/>
                <w:szCs w:val="18"/>
                <w14:textFill>
                  <w14:solidFill>
                    <w14:schemeClr w14:val="bg1"/>
                  </w14:solidFill>
                </w14:textFill>
              </w:rPr>
            </w:pPr>
            <w:r>
              <w:rPr>
                <w:rFonts w:hint="eastAsia" w:asciiTheme="minorEastAsia" w:hAnsiTheme="minorEastAsia"/>
                <w:b/>
                <w:bCs/>
                <w:color w:val="FFFFFF" w:themeColor="background1"/>
                <w:sz w:val="18"/>
                <w:szCs w:val="18"/>
                <w14:textFill>
                  <w14:solidFill>
                    <w14:schemeClr w14:val="bg1"/>
                  </w14:solidFill>
                </w14:textFill>
              </w:rPr>
              <w:t>人数</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5757" w:type="dxa"/>
            <w:shd w:val="clear" w:color="auto" w:fill="FBE4D5" w:themeFill="accent2" w:themeFillTint="33"/>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悉尼大学</w:t>
            </w:r>
          </w:p>
        </w:tc>
        <w:tc>
          <w:tcPr>
            <w:tcW w:w="2539"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6</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5757" w:type="dxa"/>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莫纳什大学</w:t>
            </w:r>
          </w:p>
        </w:tc>
        <w:tc>
          <w:tcPr>
            <w:tcW w:w="2539" w:type="dxa"/>
            <w:vAlign w:val="center"/>
          </w:tcPr>
          <w:p>
            <w:pPr>
              <w:jc w:val="center"/>
              <w:rPr>
                <w:rFonts w:asciiTheme="minorEastAsia" w:hAnsiTheme="minorEastAsia"/>
                <w:sz w:val="18"/>
                <w:szCs w:val="18"/>
              </w:rPr>
            </w:pPr>
            <w:r>
              <w:rPr>
                <w:rFonts w:hint="eastAsia" w:asciiTheme="minorEastAsia" w:hAnsiTheme="minorEastAsia"/>
                <w:sz w:val="18"/>
                <w:szCs w:val="18"/>
              </w:rPr>
              <w:t>4</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5757" w:type="dxa"/>
            <w:shd w:val="clear" w:color="auto" w:fill="FBE4D5" w:themeFill="accent2" w:themeFillTint="33"/>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香港浸会大学</w:t>
            </w:r>
          </w:p>
        </w:tc>
        <w:tc>
          <w:tcPr>
            <w:tcW w:w="2539"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4</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5757" w:type="dxa"/>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昆士兰大学</w:t>
            </w:r>
          </w:p>
        </w:tc>
        <w:tc>
          <w:tcPr>
            <w:tcW w:w="2539" w:type="dxa"/>
            <w:vAlign w:val="center"/>
          </w:tcPr>
          <w:p>
            <w:pPr>
              <w:jc w:val="center"/>
              <w:rPr>
                <w:rFonts w:asciiTheme="minorEastAsia" w:hAnsiTheme="minorEastAsia"/>
                <w:sz w:val="18"/>
                <w:szCs w:val="18"/>
              </w:rPr>
            </w:pPr>
            <w:r>
              <w:rPr>
                <w:rFonts w:hint="eastAsia" w:asciiTheme="minorEastAsia" w:hAnsiTheme="minorEastAsia"/>
                <w:sz w:val="18"/>
                <w:szCs w:val="18"/>
              </w:rPr>
              <w:t>3</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5757" w:type="dxa"/>
            <w:shd w:val="clear" w:color="auto" w:fill="FBE4D5" w:themeFill="accent2" w:themeFillTint="33"/>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香港城市大学</w:t>
            </w:r>
          </w:p>
        </w:tc>
        <w:tc>
          <w:tcPr>
            <w:tcW w:w="2539"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3</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5757" w:type="dxa"/>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伦敦大学皇家霍洛威学院</w:t>
            </w:r>
          </w:p>
        </w:tc>
        <w:tc>
          <w:tcPr>
            <w:tcW w:w="2539" w:type="dxa"/>
            <w:vAlign w:val="center"/>
          </w:tcPr>
          <w:p>
            <w:pPr>
              <w:jc w:val="center"/>
              <w:rPr>
                <w:rFonts w:asciiTheme="minorEastAsia" w:hAnsiTheme="minorEastAsia"/>
                <w:sz w:val="18"/>
                <w:szCs w:val="18"/>
              </w:rPr>
            </w:pPr>
            <w:r>
              <w:rPr>
                <w:rFonts w:hint="eastAsia" w:asciiTheme="minorEastAsia" w:hAnsiTheme="minorEastAsia"/>
                <w:sz w:val="18"/>
                <w:szCs w:val="18"/>
              </w:rPr>
              <w:t>2</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5757" w:type="dxa"/>
            <w:shd w:val="clear" w:color="auto" w:fill="FBE4D5" w:themeFill="accent2" w:themeFillTint="33"/>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诺丁汉大学</w:t>
            </w:r>
          </w:p>
        </w:tc>
        <w:tc>
          <w:tcPr>
            <w:tcW w:w="2539"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2</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5757" w:type="dxa"/>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瑞士酒店管理大学</w:t>
            </w:r>
          </w:p>
        </w:tc>
        <w:tc>
          <w:tcPr>
            <w:tcW w:w="2539" w:type="dxa"/>
            <w:vAlign w:val="center"/>
          </w:tcPr>
          <w:p>
            <w:pPr>
              <w:jc w:val="center"/>
              <w:rPr>
                <w:rFonts w:asciiTheme="minorEastAsia" w:hAnsiTheme="minorEastAsia"/>
                <w:sz w:val="18"/>
                <w:szCs w:val="18"/>
              </w:rPr>
            </w:pPr>
            <w:r>
              <w:rPr>
                <w:rFonts w:hint="eastAsia" w:asciiTheme="minorEastAsia" w:hAnsiTheme="minorEastAsia"/>
                <w:sz w:val="18"/>
                <w:szCs w:val="18"/>
              </w:rPr>
              <w:t>2</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5757" w:type="dxa"/>
            <w:shd w:val="clear" w:color="auto" w:fill="FBE4D5" w:themeFill="accent2" w:themeFillTint="33"/>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英国卡迪夫大学</w:t>
            </w:r>
          </w:p>
        </w:tc>
        <w:tc>
          <w:tcPr>
            <w:tcW w:w="2539"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2</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5757" w:type="dxa"/>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英国约克大学</w:t>
            </w:r>
          </w:p>
        </w:tc>
        <w:tc>
          <w:tcPr>
            <w:tcW w:w="2539" w:type="dxa"/>
            <w:vAlign w:val="center"/>
          </w:tcPr>
          <w:p>
            <w:pPr>
              <w:jc w:val="center"/>
              <w:rPr>
                <w:rFonts w:asciiTheme="minorEastAsia" w:hAnsiTheme="minorEastAsia"/>
                <w:sz w:val="18"/>
                <w:szCs w:val="18"/>
              </w:rPr>
            </w:pPr>
            <w:r>
              <w:rPr>
                <w:rFonts w:hint="eastAsia" w:asciiTheme="minorEastAsia" w:hAnsiTheme="minorEastAsia"/>
                <w:sz w:val="18"/>
                <w:szCs w:val="18"/>
              </w:rPr>
              <w:t>2</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5757" w:type="dxa"/>
            <w:shd w:val="clear" w:color="auto" w:fill="FBE4D5" w:themeFill="accent2" w:themeFillTint="33"/>
            <w:vAlign w:val="center"/>
          </w:tcPr>
          <w:p>
            <w:pPr>
              <w:jc w:val="center"/>
              <w:rPr>
                <w:rFonts w:asciiTheme="minorEastAsia" w:hAnsiTheme="minorEastAsia"/>
                <w:b w:val="0"/>
                <w:bCs/>
                <w:sz w:val="18"/>
                <w:szCs w:val="18"/>
              </w:rPr>
            </w:pPr>
            <w:r>
              <w:rPr>
                <w:rFonts w:hint="eastAsia" w:asciiTheme="minorEastAsia" w:hAnsiTheme="minorEastAsia"/>
                <w:b w:val="0"/>
                <w:bCs/>
                <w:sz w:val="18"/>
                <w:szCs w:val="18"/>
              </w:rPr>
              <w:t>其他大学</w:t>
            </w:r>
          </w:p>
        </w:tc>
        <w:tc>
          <w:tcPr>
            <w:tcW w:w="2539" w:type="dxa"/>
            <w:shd w:val="clear" w:color="auto" w:fill="FBE4D5" w:themeFill="accent2" w:themeFillTint="33"/>
            <w:vAlign w:val="center"/>
          </w:tcPr>
          <w:p>
            <w:pPr>
              <w:jc w:val="center"/>
              <w:rPr>
                <w:rFonts w:asciiTheme="minorEastAsia" w:hAnsiTheme="minorEastAsia"/>
                <w:sz w:val="18"/>
                <w:szCs w:val="18"/>
              </w:rPr>
            </w:pPr>
            <w:r>
              <w:rPr>
                <w:rFonts w:hint="eastAsia" w:asciiTheme="minorEastAsia" w:hAnsiTheme="minorEastAsia"/>
                <w:sz w:val="18"/>
                <w:szCs w:val="18"/>
              </w:rPr>
              <w:t>35</w:t>
            </w:r>
          </w:p>
        </w:tc>
      </w:tr>
    </w:tbl>
    <w:p>
      <w:pPr>
        <w:spacing w:before="156" w:after="156"/>
      </w:pPr>
    </w:p>
    <w:p>
      <w:pPr>
        <w:pStyle w:val="40"/>
      </w:pPr>
      <w:r>
        <w:rPr>
          <w:rFonts w:hint="eastAsia"/>
        </w:rPr>
        <w:t>2016届</w:t>
      </w:r>
      <w:r>
        <w:t>选择出国出境的专科毕业生</w:t>
      </w:r>
      <w:r>
        <w:rPr>
          <w:rFonts w:hint="eastAsia"/>
        </w:rPr>
        <w:t>多</w:t>
      </w:r>
      <w:r>
        <w:t>选择爱尔兰格里菲斯</w:t>
      </w:r>
      <w:r>
        <w:rPr>
          <w:rFonts w:hint="eastAsia"/>
        </w:rPr>
        <w:t>大学</w:t>
      </w:r>
      <w:r>
        <w:t>，有4</w:t>
      </w:r>
      <w:r>
        <w:rPr>
          <w:rFonts w:hint="eastAsia"/>
        </w:rPr>
        <w:t>5人</w:t>
      </w:r>
      <w:r>
        <w:t>，占比71.43%</w:t>
      </w:r>
      <w:r>
        <w:rPr>
          <w:rFonts w:hint="eastAsia"/>
        </w:rPr>
        <w:t>；</w:t>
      </w:r>
      <w:r>
        <w:t>英国约克圣约翰大学居次，有11</w:t>
      </w:r>
      <w:r>
        <w:rPr>
          <w:rFonts w:hint="eastAsia"/>
        </w:rPr>
        <w:t>人</w:t>
      </w:r>
      <w:r>
        <w:t>，占比17.46</w:t>
      </w:r>
      <w:r>
        <w:rPr>
          <w:rFonts w:hint="eastAsia"/>
        </w:rPr>
        <w:t>%；此外</w:t>
      </w:r>
      <w:r>
        <w:t>，英国桑德兰大学有</w:t>
      </w:r>
      <w:r>
        <w:rPr>
          <w:rFonts w:hint="eastAsia"/>
        </w:rPr>
        <w:t>7人</w:t>
      </w:r>
      <w:r>
        <w:t>，占比</w:t>
      </w:r>
      <w:r>
        <w:rPr>
          <w:rFonts w:hint="eastAsia"/>
        </w:rPr>
        <w:t>11.11</w:t>
      </w:r>
      <w:r>
        <w:t>%</w:t>
      </w:r>
      <w:r>
        <w:rPr>
          <w:rFonts w:hint="eastAsia"/>
        </w:rPr>
        <w:t>。</w:t>
      </w:r>
      <w:r>
        <w:t>具体</w:t>
      </w:r>
      <w:r>
        <w:rPr>
          <w:rFonts w:hint="eastAsia"/>
        </w:rPr>
        <w:t>情况</w:t>
      </w:r>
      <w:r>
        <w:t>见</w:t>
      </w:r>
      <w:r>
        <w:rPr>
          <w:rFonts w:hint="eastAsia"/>
        </w:rPr>
        <w:t>图2</w:t>
      </w:r>
      <w:r>
        <w:t>-14。</w:t>
      </w:r>
    </w:p>
    <w:p>
      <w:pPr>
        <w:spacing w:before="156" w:after="156"/>
        <w:jc w:val="center"/>
      </w:pPr>
      <w:r>
        <w:drawing>
          <wp:inline distT="0" distB="0" distL="0" distR="0">
            <wp:extent cx="3448050" cy="2886075"/>
            <wp:effectExtent l="0" t="0" r="0" b="9525"/>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pStyle w:val="8"/>
        <w:jc w:val="center"/>
        <w:rPr>
          <w:rFonts w:asciiTheme="minorEastAsia" w:hAnsiTheme="minorEastAsia" w:eastAsiaTheme="minorEastAsia"/>
          <w:sz w:val="18"/>
          <w:szCs w:val="18"/>
        </w:rPr>
      </w:pPr>
      <w:bookmarkStart w:id="82" w:name="_Toc470887059"/>
      <w:r>
        <w:rPr>
          <w:rFonts w:hint="eastAsia" w:asciiTheme="minorEastAsia" w:hAnsiTheme="minorEastAsia" w:eastAsiaTheme="minorEastAsia"/>
          <w:sz w:val="18"/>
          <w:szCs w:val="18"/>
        </w:rPr>
        <w:t>图2-</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图2-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14</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2016届</w:t>
      </w:r>
      <w:r>
        <w:rPr>
          <w:rFonts w:asciiTheme="minorEastAsia" w:hAnsiTheme="minorEastAsia" w:eastAsiaTheme="minorEastAsia"/>
          <w:sz w:val="18"/>
          <w:szCs w:val="18"/>
        </w:rPr>
        <w:t>专科出国学校分布</w:t>
      </w:r>
      <w:bookmarkEnd w:id="82"/>
    </w:p>
    <w:p>
      <w:pPr>
        <w:spacing w:before="156" w:after="156"/>
        <w:jc w:val="center"/>
        <w:rPr>
          <w:sz w:val="18"/>
          <w:szCs w:val="18"/>
        </w:rPr>
      </w:pPr>
    </w:p>
    <w:p>
      <w:pPr>
        <w:spacing w:before="156" w:after="156"/>
        <w:jc w:val="center"/>
        <w:rPr>
          <w:sz w:val="18"/>
          <w:szCs w:val="18"/>
        </w:rPr>
      </w:pPr>
    </w:p>
    <w:p>
      <w:pPr>
        <w:spacing w:before="156" w:after="156"/>
        <w:jc w:val="center"/>
        <w:rPr>
          <w:sz w:val="18"/>
          <w:szCs w:val="18"/>
        </w:rPr>
      </w:pPr>
    </w:p>
    <w:p>
      <w:pPr>
        <w:spacing w:before="156" w:after="156"/>
        <w:jc w:val="center"/>
        <w:rPr>
          <w:sz w:val="18"/>
          <w:szCs w:val="18"/>
        </w:rPr>
      </w:pPr>
    </w:p>
    <w:p>
      <w:pPr>
        <w:spacing w:before="156" w:after="156"/>
        <w:jc w:val="center"/>
        <w:rPr>
          <w:sz w:val="18"/>
          <w:szCs w:val="18"/>
        </w:rPr>
      </w:pPr>
    </w:p>
    <w:p>
      <w:pPr>
        <w:spacing w:before="156" w:after="156"/>
        <w:jc w:val="center"/>
        <w:rPr>
          <w:sz w:val="18"/>
          <w:szCs w:val="18"/>
        </w:rPr>
      </w:pPr>
    </w:p>
    <w:p>
      <w:pPr>
        <w:spacing w:before="156" w:after="156"/>
        <w:jc w:val="center"/>
        <w:rPr>
          <w:sz w:val="18"/>
          <w:szCs w:val="18"/>
        </w:rPr>
      </w:pPr>
    </w:p>
    <w:p>
      <w:pPr>
        <w:spacing w:before="156" w:after="156"/>
        <w:jc w:val="center"/>
        <w:rPr>
          <w:sz w:val="18"/>
          <w:szCs w:val="18"/>
        </w:rPr>
      </w:pPr>
    </w:p>
    <w:p>
      <w:pPr>
        <w:spacing w:before="156" w:after="156"/>
        <w:jc w:val="center"/>
        <w:rPr>
          <w:sz w:val="18"/>
          <w:szCs w:val="18"/>
        </w:rPr>
      </w:pPr>
    </w:p>
    <w:p>
      <w:pPr>
        <w:spacing w:before="156" w:after="156"/>
        <w:jc w:val="center"/>
        <w:rPr>
          <w:sz w:val="18"/>
          <w:szCs w:val="18"/>
        </w:rPr>
      </w:pPr>
    </w:p>
    <w:p>
      <w:pPr>
        <w:spacing w:before="156" w:after="156"/>
        <w:jc w:val="center"/>
        <w:rPr>
          <w:sz w:val="18"/>
          <w:szCs w:val="18"/>
        </w:rPr>
      </w:pPr>
    </w:p>
    <w:p>
      <w:pPr>
        <w:spacing w:before="156" w:after="156"/>
        <w:jc w:val="center"/>
        <w:rPr>
          <w:sz w:val="18"/>
          <w:szCs w:val="18"/>
        </w:rPr>
      </w:pPr>
    </w:p>
    <w:p>
      <w:pPr>
        <w:pStyle w:val="24"/>
        <w:rPr>
          <w:sz w:val="21"/>
          <w:szCs w:val="22"/>
        </w:rPr>
      </w:pPr>
      <w:bookmarkStart w:id="83" w:name="_Toc471310927"/>
      <w:bookmarkStart w:id="84" w:name="_Toc469038331"/>
      <w:r>
        <w:rPr>
          <w:rFonts w:hint="eastAsia"/>
        </w:rPr>
        <w:t>第三章 就业质量</w:t>
      </w:r>
      <w:r>
        <w:t>相关分析</w:t>
      </w:r>
      <w:bookmarkEnd w:id="83"/>
      <w:bookmarkEnd w:id="84"/>
    </w:p>
    <w:p>
      <w:pPr>
        <w:pStyle w:val="40"/>
      </w:pPr>
      <w:r>
        <w:rPr>
          <w:rFonts w:hint="eastAsia"/>
        </w:rPr>
        <w:t>对</w:t>
      </w:r>
      <w:r>
        <w:t>调研数据进行清洗</w:t>
      </w:r>
      <w:r>
        <w:rPr>
          <w:rFonts w:hint="eastAsia"/>
        </w:rPr>
        <w:t>，</w:t>
      </w:r>
      <w:r>
        <w:t>最终有效</w:t>
      </w:r>
      <w:r>
        <w:rPr>
          <w:rFonts w:hint="eastAsia"/>
        </w:rPr>
        <w:t>答题</w:t>
      </w:r>
      <w:r>
        <w:t>问卷</w:t>
      </w:r>
      <w:r>
        <w:rPr>
          <w:rFonts w:hint="eastAsia"/>
        </w:rPr>
        <w:t>2242份。</w:t>
      </w:r>
    </w:p>
    <w:p>
      <w:pPr>
        <w:pStyle w:val="25"/>
      </w:pPr>
      <w:bookmarkStart w:id="85" w:name="_Toc469038335"/>
      <w:bookmarkStart w:id="86" w:name="_Toc471310928"/>
      <w:r>
        <w:rPr>
          <w:rFonts w:hint="eastAsia"/>
        </w:rPr>
        <w:t>一</w:t>
      </w:r>
      <w:r>
        <w:t>、已落实就业单位毕业生求职</w:t>
      </w:r>
      <w:r>
        <w:rPr>
          <w:rFonts w:hint="eastAsia"/>
        </w:rPr>
        <w:t>过程</w:t>
      </w:r>
      <w:r>
        <w:t>分析</w:t>
      </w:r>
      <w:bookmarkEnd w:id="85"/>
      <w:bookmarkEnd w:id="86"/>
    </w:p>
    <w:p>
      <w:pPr>
        <w:pStyle w:val="30"/>
      </w:pPr>
      <w:bookmarkStart w:id="87" w:name="_Toc471310929"/>
      <w:bookmarkStart w:id="88" w:name="_Toc469038336"/>
      <w:r>
        <w:rPr>
          <w:rFonts w:hint="eastAsia"/>
        </w:rPr>
        <w:t>（一</w:t>
      </w:r>
      <w:r>
        <w:t>）</w:t>
      </w:r>
      <w:r>
        <w:rPr>
          <w:rFonts w:hint="eastAsia"/>
        </w:rPr>
        <w:t>成功求职</w:t>
      </w:r>
      <w:r>
        <w:t>途径</w:t>
      </w:r>
      <w:r>
        <w:rPr>
          <w:rFonts w:hint="eastAsia"/>
        </w:rPr>
        <w:t>分析</w:t>
      </w:r>
      <w:bookmarkEnd w:id="87"/>
      <w:bookmarkEnd w:id="88"/>
    </w:p>
    <w:p>
      <w:pPr>
        <w:pStyle w:val="40"/>
      </w:pPr>
      <w:r>
        <w:rPr>
          <w:rFonts w:hint="eastAsia"/>
        </w:rPr>
        <w:t>由调研</w:t>
      </w:r>
      <w:r>
        <w:t>数据可知</w:t>
      </w:r>
      <w:r>
        <w:rPr>
          <w:rFonts w:hint="eastAsia"/>
        </w:rPr>
        <w:t>，</w:t>
      </w:r>
      <w:r>
        <w:t>毕业生最主要的求职途径是</w:t>
      </w:r>
      <w:r>
        <w:rPr>
          <w:rFonts w:hint="eastAsia"/>
        </w:rPr>
        <w:t>“母校推荐”，比例达到4</w:t>
      </w:r>
      <w:r>
        <w:t>1.48%。</w:t>
      </w:r>
      <w:r>
        <w:rPr>
          <w:rFonts w:hint="eastAsia"/>
        </w:rPr>
        <w:t>其次</w:t>
      </w:r>
      <w:r>
        <w:t>是</w:t>
      </w:r>
      <w:r>
        <w:rPr>
          <w:rFonts w:hint="eastAsia"/>
        </w:rPr>
        <w:t>“自己直接联系”，比例3</w:t>
      </w:r>
      <w:r>
        <w:t>2.97%，还有少数的毕业生是通过</w:t>
      </w:r>
      <w:r>
        <w:rPr>
          <w:rFonts w:hint="eastAsia"/>
        </w:rPr>
        <w:t>“亲友推荐”“社会中介推荐”等</w:t>
      </w:r>
      <w:r>
        <w:t>渠道找到目前工作的</w:t>
      </w:r>
      <w:r>
        <w:rPr>
          <w:rFonts w:hint="eastAsia"/>
        </w:rPr>
        <w:t>。详见图3</w:t>
      </w:r>
      <w:r>
        <w:t>-1。</w:t>
      </w:r>
    </w:p>
    <w:p>
      <w:pPr>
        <w:jc w:val="center"/>
      </w:pPr>
      <w:r>
        <w:drawing>
          <wp:inline distT="0" distB="0" distL="0" distR="0">
            <wp:extent cx="4572000" cy="2743200"/>
            <wp:effectExtent l="0" t="0" r="0" b="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pStyle w:val="8"/>
        <w:jc w:val="center"/>
        <w:rPr>
          <w:rFonts w:asciiTheme="minorEastAsia" w:hAnsiTheme="minorEastAsia" w:eastAsiaTheme="minorEastAsia"/>
          <w:sz w:val="18"/>
          <w:szCs w:val="18"/>
        </w:rPr>
      </w:pPr>
      <w:bookmarkStart w:id="89" w:name="_Toc470887019"/>
      <w:r>
        <w:rPr>
          <w:rFonts w:hint="eastAsia" w:asciiTheme="minorEastAsia" w:hAnsiTheme="minorEastAsia" w:eastAsiaTheme="minorEastAsia"/>
          <w:sz w:val="18"/>
          <w:szCs w:val="18"/>
        </w:rPr>
        <w:t>图3-</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图3-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1</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已落实</w:t>
      </w:r>
      <w:r>
        <w:rPr>
          <w:rFonts w:asciiTheme="minorEastAsia" w:hAnsiTheme="minorEastAsia" w:eastAsiaTheme="minorEastAsia"/>
          <w:sz w:val="18"/>
          <w:szCs w:val="18"/>
        </w:rPr>
        <w:t>就业单位毕业生</w:t>
      </w:r>
      <w:r>
        <w:rPr>
          <w:rFonts w:hint="eastAsia" w:asciiTheme="minorEastAsia" w:hAnsiTheme="minorEastAsia" w:eastAsiaTheme="minorEastAsia"/>
          <w:sz w:val="18"/>
          <w:szCs w:val="18"/>
        </w:rPr>
        <w:t>求职</w:t>
      </w:r>
      <w:r>
        <w:rPr>
          <w:rFonts w:asciiTheme="minorEastAsia" w:hAnsiTheme="minorEastAsia" w:eastAsiaTheme="minorEastAsia"/>
          <w:sz w:val="18"/>
          <w:szCs w:val="18"/>
        </w:rPr>
        <w:t>途径</w:t>
      </w:r>
      <w:bookmarkEnd w:id="89"/>
    </w:p>
    <w:p>
      <w:pPr>
        <w:pStyle w:val="30"/>
      </w:pPr>
      <w:bookmarkStart w:id="90" w:name="_Toc471310930"/>
      <w:bookmarkStart w:id="91" w:name="_Toc469038337"/>
      <w:r>
        <w:rPr>
          <w:rFonts w:hint="eastAsia"/>
        </w:rPr>
        <w:t>（二）求职</w:t>
      </w:r>
      <w:r>
        <w:t>花费</w:t>
      </w:r>
      <w:r>
        <w:rPr>
          <w:rFonts w:hint="eastAsia"/>
        </w:rPr>
        <w:t>成本分析</w:t>
      </w:r>
      <w:bookmarkEnd w:id="90"/>
      <w:bookmarkEnd w:id="91"/>
    </w:p>
    <w:p>
      <w:pPr>
        <w:pStyle w:val="40"/>
      </w:pPr>
      <w:r>
        <w:rPr>
          <w:rFonts w:hint="eastAsia"/>
        </w:rPr>
        <w:t>调研数据</w:t>
      </w:r>
      <w:r>
        <w:t>显示，70.33%</w:t>
      </w:r>
      <w:r>
        <w:rPr>
          <w:rFonts w:hint="eastAsia"/>
        </w:rPr>
        <w:t>的</w:t>
      </w:r>
      <w:r>
        <w:t>毕业生求职花费在</w:t>
      </w:r>
      <w:r>
        <w:rPr>
          <w:rFonts w:hint="eastAsia"/>
        </w:rPr>
        <w:t>2000元</w:t>
      </w:r>
      <w:r>
        <w:t>以下，</w:t>
      </w:r>
      <w:r>
        <w:rPr>
          <w:rFonts w:hint="eastAsia"/>
        </w:rPr>
        <w:t>2001</w:t>
      </w:r>
      <w:r>
        <w:t>-4000</w:t>
      </w:r>
      <w:r>
        <w:rPr>
          <w:rFonts w:hint="eastAsia"/>
        </w:rPr>
        <w:t>元</w:t>
      </w:r>
      <w:r>
        <w:t>的占比</w:t>
      </w:r>
      <w:r>
        <w:rPr>
          <w:rFonts w:hint="eastAsia"/>
        </w:rPr>
        <w:t>为17.31</w:t>
      </w:r>
      <w:r>
        <w:t>%，一万元以上的仅占</w:t>
      </w:r>
      <w:r>
        <w:rPr>
          <w:rFonts w:hint="eastAsia"/>
        </w:rPr>
        <w:t>3.02</w:t>
      </w:r>
      <w:r>
        <w:t>%，说明</w:t>
      </w:r>
      <w:r>
        <w:rPr>
          <w:rFonts w:hint="eastAsia"/>
        </w:rPr>
        <w:t>大多数</w:t>
      </w:r>
      <w:r>
        <w:t>毕业生</w:t>
      </w:r>
      <w:r>
        <w:rPr>
          <w:rFonts w:hint="eastAsia"/>
        </w:rPr>
        <w:t>能够运用较低</w:t>
      </w:r>
      <w:r>
        <w:t>的</w:t>
      </w:r>
      <w:r>
        <w:rPr>
          <w:rFonts w:hint="eastAsia"/>
        </w:rPr>
        <w:t>求职</w:t>
      </w:r>
      <w:r>
        <w:t>成本找到合适的工作。</w:t>
      </w:r>
      <w:r>
        <w:rPr>
          <w:rFonts w:hint="eastAsia"/>
        </w:rPr>
        <w:t>详见图3</w:t>
      </w:r>
      <w:r>
        <w:t>-2。</w:t>
      </w:r>
    </w:p>
    <w:p>
      <w:pPr>
        <w:jc w:val="center"/>
      </w:pPr>
      <w:r>
        <w:drawing>
          <wp:inline distT="0" distB="0" distL="0" distR="0">
            <wp:extent cx="4572000" cy="2743200"/>
            <wp:effectExtent l="0" t="0" r="0" b="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pStyle w:val="8"/>
        <w:jc w:val="center"/>
        <w:rPr>
          <w:rFonts w:asciiTheme="minorEastAsia" w:hAnsiTheme="minorEastAsia" w:eastAsiaTheme="minorEastAsia"/>
          <w:sz w:val="18"/>
          <w:szCs w:val="18"/>
        </w:rPr>
      </w:pPr>
      <w:bookmarkStart w:id="92" w:name="_Toc470887020"/>
      <w:r>
        <w:rPr>
          <w:rFonts w:hint="eastAsia" w:asciiTheme="minorEastAsia" w:hAnsiTheme="minorEastAsia" w:eastAsiaTheme="minorEastAsia"/>
          <w:sz w:val="18"/>
          <w:szCs w:val="18"/>
        </w:rPr>
        <w:t>图3-</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图3-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2</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已落实</w:t>
      </w:r>
      <w:r>
        <w:rPr>
          <w:rFonts w:asciiTheme="minorEastAsia" w:hAnsiTheme="minorEastAsia" w:eastAsiaTheme="minorEastAsia"/>
          <w:sz w:val="18"/>
          <w:szCs w:val="18"/>
        </w:rPr>
        <w:t>就业单位毕业生</w:t>
      </w:r>
      <w:r>
        <w:rPr>
          <w:rFonts w:hint="eastAsia" w:asciiTheme="minorEastAsia" w:hAnsiTheme="minorEastAsia" w:eastAsiaTheme="minorEastAsia"/>
          <w:sz w:val="18"/>
          <w:szCs w:val="18"/>
        </w:rPr>
        <w:t>求职花费</w:t>
      </w:r>
      <w:bookmarkEnd w:id="92"/>
    </w:p>
    <w:p>
      <w:pPr>
        <w:pStyle w:val="30"/>
      </w:pPr>
      <w:bookmarkStart w:id="93" w:name="_Toc469038338"/>
      <w:bookmarkStart w:id="94" w:name="_Toc471310931"/>
      <w:r>
        <w:rPr>
          <w:rFonts w:hint="eastAsia"/>
        </w:rPr>
        <w:t>（三）求职成功的</w:t>
      </w:r>
      <w:r>
        <w:t>主要因素</w:t>
      </w:r>
      <w:r>
        <w:rPr>
          <w:rFonts w:hint="eastAsia"/>
        </w:rPr>
        <w:t>分析</w:t>
      </w:r>
      <w:bookmarkEnd w:id="93"/>
      <w:bookmarkEnd w:id="94"/>
    </w:p>
    <w:p>
      <w:pPr>
        <w:pStyle w:val="40"/>
      </w:pPr>
      <w:r>
        <w:rPr>
          <w:rFonts w:hint="eastAsia"/>
        </w:rPr>
        <w:t>调研数据</w:t>
      </w:r>
      <w:r>
        <w:t>显示，</w:t>
      </w:r>
      <w:r>
        <w:rPr>
          <w:rFonts w:hint="eastAsia"/>
        </w:rPr>
        <w:t>毕业生认为</w:t>
      </w:r>
      <w:r>
        <w:t>求职过程</w:t>
      </w:r>
      <w:r>
        <w:rPr>
          <w:rFonts w:hint="eastAsia"/>
        </w:rPr>
        <w:t>中首要</w:t>
      </w:r>
      <w:r>
        <w:t>的帮助因素</w:t>
      </w:r>
      <w:r>
        <w:rPr>
          <w:rFonts w:hint="eastAsia"/>
        </w:rPr>
        <w:t>是个人素质</w:t>
      </w:r>
      <w:r>
        <w:t>，其次是实践</w:t>
      </w:r>
      <w:r>
        <w:rPr>
          <w:rFonts w:hint="eastAsia"/>
        </w:rPr>
        <w:t>/工作经验，再次</w:t>
      </w:r>
      <w:r>
        <w:t>是学历，</w:t>
      </w:r>
      <w:r>
        <w:rPr>
          <w:rFonts w:hint="eastAsia"/>
        </w:rPr>
        <w:t>还有</w:t>
      </w:r>
      <w:r>
        <w:t>一些其他的因素</w:t>
      </w:r>
      <w:r>
        <w:rPr>
          <w:rFonts w:hint="eastAsia"/>
        </w:rPr>
        <w:t>对</w:t>
      </w:r>
      <w:r>
        <w:t>毕业生求职也起到一定的帮助作用，如</w:t>
      </w:r>
      <w:r>
        <w:rPr>
          <w:rFonts w:hint="eastAsia"/>
        </w:rPr>
        <w:t>专业背景</w:t>
      </w:r>
      <w:r>
        <w:t>、</w:t>
      </w:r>
      <w:r>
        <w:rPr>
          <w:rFonts w:hint="eastAsia"/>
        </w:rPr>
        <w:t>职业资格证书</w:t>
      </w:r>
      <w:r>
        <w:t>、社会关系、母校声誉</w:t>
      </w:r>
      <w:r>
        <w:rPr>
          <w:rFonts w:hint="eastAsia"/>
        </w:rPr>
        <w:t>、</w:t>
      </w:r>
      <w:r>
        <w:t>职业认知、担任学生干部</w:t>
      </w:r>
      <w:r>
        <w:rPr>
          <w:rFonts w:hint="eastAsia"/>
        </w:rPr>
        <w:t>和</w:t>
      </w:r>
      <w:r>
        <w:t>参加竞赛获奖经历等</w:t>
      </w:r>
      <w:r>
        <w:rPr>
          <w:rFonts w:hint="eastAsia"/>
        </w:rPr>
        <w:t>。</w:t>
      </w:r>
      <w:r>
        <w:t>详见图</w:t>
      </w:r>
      <w:r>
        <w:rPr>
          <w:rFonts w:hint="eastAsia"/>
        </w:rPr>
        <w:t>3</w:t>
      </w:r>
      <w:r>
        <w:t>-3。</w:t>
      </w:r>
    </w:p>
    <w:p>
      <w:pPr>
        <w:jc w:val="center"/>
      </w:pPr>
      <w:r>
        <w:drawing>
          <wp:inline distT="0" distB="0" distL="0" distR="0">
            <wp:extent cx="4572000" cy="2743200"/>
            <wp:effectExtent l="0" t="0" r="0" b="0"/>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Style w:val="8"/>
        <w:jc w:val="center"/>
        <w:rPr>
          <w:rFonts w:asciiTheme="minorEastAsia" w:hAnsiTheme="minorEastAsia" w:eastAsiaTheme="minorEastAsia"/>
          <w:sz w:val="18"/>
          <w:szCs w:val="18"/>
        </w:rPr>
      </w:pPr>
      <w:bookmarkStart w:id="95" w:name="_Toc470887021"/>
      <w:r>
        <w:rPr>
          <w:rFonts w:hint="eastAsia" w:asciiTheme="minorEastAsia" w:hAnsiTheme="minorEastAsia" w:eastAsiaTheme="minorEastAsia"/>
          <w:sz w:val="18"/>
          <w:szCs w:val="18"/>
        </w:rPr>
        <w:t>图3-</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图3-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3</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已落实</w:t>
      </w:r>
      <w:r>
        <w:rPr>
          <w:rFonts w:asciiTheme="minorEastAsia" w:hAnsiTheme="minorEastAsia" w:eastAsiaTheme="minorEastAsia"/>
          <w:sz w:val="18"/>
          <w:szCs w:val="18"/>
        </w:rPr>
        <w:t>就业单位毕业生</w:t>
      </w:r>
      <w:r>
        <w:rPr>
          <w:rFonts w:hint="eastAsia" w:asciiTheme="minorEastAsia" w:hAnsiTheme="minorEastAsia" w:eastAsiaTheme="minorEastAsia"/>
          <w:sz w:val="18"/>
          <w:szCs w:val="18"/>
        </w:rPr>
        <w:t>求职成功主要因素</w:t>
      </w:r>
      <w:bookmarkEnd w:id="95"/>
    </w:p>
    <w:p>
      <w:pPr>
        <w:pStyle w:val="30"/>
      </w:pPr>
      <w:bookmarkStart w:id="96" w:name="_Toc469038339"/>
      <w:bookmarkStart w:id="97" w:name="_Toc471310932"/>
      <w:r>
        <w:rPr>
          <w:rFonts w:hint="eastAsia"/>
        </w:rPr>
        <w:t>（四）求职保障</w:t>
      </w:r>
      <w:bookmarkEnd w:id="96"/>
      <w:bookmarkEnd w:id="97"/>
    </w:p>
    <w:p>
      <w:pPr>
        <w:pStyle w:val="40"/>
      </w:pPr>
      <w:r>
        <w:rPr>
          <w:rFonts w:hint="eastAsia"/>
        </w:rPr>
        <w:t>调研</w:t>
      </w:r>
      <w:r>
        <w:t>毕业生在</w:t>
      </w:r>
      <w:r>
        <w:rPr>
          <w:rFonts w:hint="eastAsia"/>
        </w:rPr>
        <w:t>求职</w:t>
      </w:r>
      <w:r>
        <w:t>时是否与用人单位签订了</w:t>
      </w:r>
      <w:r>
        <w:rPr>
          <w:rFonts w:hint="eastAsia"/>
        </w:rPr>
        <w:t>相关求职保障</w:t>
      </w:r>
      <w:r>
        <w:t>，有</w:t>
      </w:r>
      <w:r>
        <w:rPr>
          <w:rFonts w:hint="eastAsia"/>
        </w:rPr>
        <w:t>67.95</w:t>
      </w:r>
      <w:r>
        <w:t>%的毕业生</w:t>
      </w:r>
      <w:r>
        <w:rPr>
          <w:rFonts w:hint="eastAsia"/>
        </w:rPr>
        <w:t>与</w:t>
      </w:r>
      <w:r>
        <w:t>用人单位签订了就业协议或劳动合同，</w:t>
      </w:r>
      <w:r>
        <w:rPr>
          <w:rFonts w:hint="eastAsia"/>
        </w:rPr>
        <w:t>仍有32.05</w:t>
      </w:r>
      <w:r>
        <w:t>%的毕业生在求职时并没有与用人单位签订任何保障协议</w:t>
      </w:r>
      <w:r>
        <w:rPr>
          <w:rFonts w:hint="eastAsia"/>
        </w:rPr>
        <w:t>。</w:t>
      </w:r>
      <w:r>
        <w:t>详见图</w:t>
      </w:r>
      <w:r>
        <w:rPr>
          <w:rFonts w:hint="eastAsia"/>
        </w:rPr>
        <w:t>3</w:t>
      </w:r>
      <w:r>
        <w:t>-4。</w:t>
      </w:r>
    </w:p>
    <w:p>
      <w:pPr>
        <w:jc w:val="center"/>
      </w:pPr>
      <w:r>
        <w:drawing>
          <wp:inline distT="0" distB="0" distL="0" distR="0">
            <wp:extent cx="4143375" cy="2409825"/>
            <wp:effectExtent l="0" t="0" r="9525" b="9525"/>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pStyle w:val="8"/>
        <w:jc w:val="center"/>
        <w:rPr>
          <w:rFonts w:asciiTheme="minorEastAsia" w:hAnsiTheme="minorEastAsia" w:eastAsiaTheme="minorEastAsia"/>
          <w:sz w:val="18"/>
          <w:szCs w:val="18"/>
        </w:rPr>
      </w:pPr>
      <w:bookmarkStart w:id="98" w:name="_Toc470887022"/>
      <w:r>
        <w:rPr>
          <w:rFonts w:hint="eastAsia" w:asciiTheme="minorEastAsia" w:hAnsiTheme="minorEastAsia" w:eastAsiaTheme="minorEastAsia"/>
          <w:sz w:val="18"/>
          <w:szCs w:val="18"/>
        </w:rPr>
        <w:t>图3-</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图3-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4</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已落实</w:t>
      </w:r>
      <w:r>
        <w:rPr>
          <w:rFonts w:asciiTheme="minorEastAsia" w:hAnsiTheme="minorEastAsia" w:eastAsiaTheme="minorEastAsia"/>
          <w:sz w:val="18"/>
          <w:szCs w:val="18"/>
        </w:rPr>
        <w:t>就业单位毕业生</w:t>
      </w:r>
      <w:r>
        <w:rPr>
          <w:rFonts w:hint="eastAsia" w:asciiTheme="minorEastAsia" w:hAnsiTheme="minorEastAsia" w:eastAsiaTheme="minorEastAsia"/>
          <w:sz w:val="18"/>
          <w:szCs w:val="18"/>
        </w:rPr>
        <w:t>求职保障</w:t>
      </w:r>
      <w:bookmarkEnd w:id="98"/>
    </w:p>
    <w:p>
      <w:pPr>
        <w:pStyle w:val="25"/>
      </w:pPr>
      <w:bookmarkStart w:id="99" w:name="_Toc471310933"/>
      <w:bookmarkStart w:id="100" w:name="_Toc469038340"/>
      <w:r>
        <w:rPr>
          <w:rFonts w:hint="eastAsia"/>
        </w:rPr>
        <w:t>二</w:t>
      </w:r>
      <w:r>
        <w:t>、</w:t>
      </w:r>
      <w:r>
        <w:rPr>
          <w:rFonts w:hint="eastAsia"/>
        </w:rPr>
        <w:t>已落实</w:t>
      </w:r>
      <w:r>
        <w:t>就业</w:t>
      </w:r>
      <w:r>
        <w:rPr>
          <w:rFonts w:hint="eastAsia"/>
        </w:rPr>
        <w:t>单位毕业生就业</w:t>
      </w:r>
      <w:r>
        <w:t>质量分析</w:t>
      </w:r>
      <w:bookmarkEnd w:id="99"/>
      <w:bookmarkEnd w:id="100"/>
    </w:p>
    <w:p>
      <w:pPr>
        <w:pStyle w:val="30"/>
      </w:pPr>
      <w:bookmarkStart w:id="101" w:name="_Toc471310934"/>
      <w:bookmarkStart w:id="102" w:name="_Toc469038334"/>
      <w:r>
        <w:rPr>
          <w:rFonts w:hint="eastAsia"/>
        </w:rPr>
        <w:t>（一）毕业生</w:t>
      </w:r>
      <w:r>
        <w:t>就业状况满意度</w:t>
      </w:r>
      <w:bookmarkEnd w:id="101"/>
      <w:bookmarkEnd w:id="102"/>
    </w:p>
    <w:p>
      <w:pPr>
        <w:pStyle w:val="40"/>
      </w:pPr>
      <w:r>
        <w:rPr>
          <w:rFonts w:hint="eastAsia"/>
        </w:rPr>
        <w:t>调研数据</w:t>
      </w:r>
      <w:r>
        <w:t>显示，</w:t>
      </w:r>
      <w:r>
        <w:rPr>
          <w:rFonts w:hint="eastAsia"/>
        </w:rPr>
        <w:t>总体</w:t>
      </w:r>
      <w:r>
        <w:t>来看，90.52%</w:t>
      </w:r>
      <w:r>
        <w:rPr>
          <w:rFonts w:hint="eastAsia"/>
        </w:rPr>
        <w:t>的</w:t>
      </w:r>
      <w:r>
        <w:t>毕业生对目前就业状况</w:t>
      </w:r>
      <w:r>
        <w:rPr>
          <w:rFonts w:hint="eastAsia"/>
        </w:rPr>
        <w:t>表示“满意”，</w:t>
      </w:r>
      <w:r>
        <w:t>包括非常满意、满意、比较满意</w:t>
      </w:r>
      <w:r>
        <w:rPr>
          <w:rFonts w:hint="eastAsia"/>
        </w:rPr>
        <w:t>（下同），但也有近一成的</w:t>
      </w:r>
      <w:r>
        <w:t>毕业生对目前就业状况持</w:t>
      </w:r>
      <w:r>
        <w:rPr>
          <w:rFonts w:hint="eastAsia"/>
        </w:rPr>
        <w:t>“不满意”态度</w:t>
      </w:r>
      <w:r>
        <w:t>，包括不太满意和很不满意</w:t>
      </w:r>
      <w:r>
        <w:rPr>
          <w:rFonts w:hint="eastAsia"/>
        </w:rPr>
        <w:t>。</w:t>
      </w:r>
    </w:p>
    <w:p>
      <w:pPr>
        <w:pStyle w:val="40"/>
      </w:pPr>
      <w:r>
        <w:t>分学历</w:t>
      </w:r>
      <w:r>
        <w:rPr>
          <w:rFonts w:hint="eastAsia"/>
        </w:rPr>
        <w:t>层次</w:t>
      </w:r>
      <w:r>
        <w:t>来看，</w:t>
      </w:r>
      <w:r>
        <w:rPr>
          <w:rFonts w:hint="eastAsia"/>
        </w:rPr>
        <w:t>本科生</w:t>
      </w:r>
      <w:r>
        <w:t>有</w:t>
      </w:r>
      <w:r>
        <w:rPr>
          <w:rFonts w:hint="eastAsia"/>
        </w:rPr>
        <w:t>90.38</w:t>
      </w:r>
      <w:r>
        <w:t>%对目前</w:t>
      </w:r>
      <w:r>
        <w:rPr>
          <w:rFonts w:hint="eastAsia"/>
        </w:rPr>
        <w:t>就业</w:t>
      </w:r>
      <w:r>
        <w:t>状况表示</w:t>
      </w:r>
      <w:r>
        <w:rPr>
          <w:rFonts w:hint="eastAsia"/>
        </w:rPr>
        <w:t>“满意”，专科生</w:t>
      </w:r>
      <w:r>
        <w:t>有</w:t>
      </w:r>
      <w:r>
        <w:rPr>
          <w:rFonts w:hint="eastAsia"/>
        </w:rPr>
        <w:t>92.31</w:t>
      </w:r>
      <w:r>
        <w:t>%的毕业生对目前就业状况表示</w:t>
      </w:r>
      <w:r>
        <w:rPr>
          <w:rFonts w:hint="eastAsia"/>
        </w:rPr>
        <w:t>“满意”，专科生对</w:t>
      </w:r>
      <w:r>
        <w:t>目前就业状况的满意度</w:t>
      </w:r>
      <w:r>
        <w:rPr>
          <w:rFonts w:hint="eastAsia"/>
        </w:rPr>
        <w:t>略</w:t>
      </w:r>
      <w:r>
        <w:t>高于本科生。详见图</w:t>
      </w:r>
      <w:r>
        <w:rPr>
          <w:rFonts w:hint="eastAsia"/>
        </w:rPr>
        <w:t>3</w:t>
      </w:r>
      <w:r>
        <w:t>-5。</w:t>
      </w:r>
    </w:p>
    <w:p/>
    <w:p>
      <w:pPr>
        <w:jc w:val="center"/>
      </w:pPr>
      <w:r>
        <w:drawing>
          <wp:inline distT="0" distB="0" distL="0" distR="0">
            <wp:extent cx="4572000" cy="2581275"/>
            <wp:effectExtent l="0" t="0" r="0" b="9525"/>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pStyle w:val="8"/>
        <w:jc w:val="center"/>
        <w:rPr>
          <w:rFonts w:asciiTheme="minorEastAsia" w:hAnsiTheme="minorEastAsia" w:eastAsiaTheme="minorEastAsia"/>
          <w:sz w:val="18"/>
          <w:szCs w:val="18"/>
        </w:rPr>
      </w:pPr>
      <w:bookmarkStart w:id="103" w:name="_Toc470887023"/>
      <w:r>
        <w:rPr>
          <w:rFonts w:hint="eastAsia" w:asciiTheme="minorEastAsia" w:hAnsiTheme="minorEastAsia" w:eastAsiaTheme="minorEastAsia"/>
          <w:sz w:val="18"/>
          <w:szCs w:val="18"/>
        </w:rPr>
        <w:t>图3-</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图3-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5</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已落实就业单位毕业生</w:t>
      </w:r>
      <w:r>
        <w:rPr>
          <w:rFonts w:asciiTheme="minorEastAsia" w:hAnsiTheme="minorEastAsia" w:eastAsiaTheme="minorEastAsia"/>
          <w:sz w:val="18"/>
          <w:szCs w:val="18"/>
        </w:rPr>
        <w:t>就业状况满意度</w:t>
      </w:r>
      <w:bookmarkEnd w:id="103"/>
    </w:p>
    <w:p>
      <w:pPr>
        <w:pStyle w:val="30"/>
      </w:pPr>
      <w:bookmarkStart w:id="104" w:name="_Toc471310935"/>
      <w:bookmarkStart w:id="105" w:name="_Toc469038341"/>
      <w:r>
        <w:rPr>
          <w:rFonts w:hint="eastAsia"/>
        </w:rPr>
        <w:t>（二）薪资情况</w:t>
      </w:r>
      <w:bookmarkEnd w:id="104"/>
      <w:bookmarkEnd w:id="105"/>
    </w:p>
    <w:p>
      <w:pPr>
        <w:pStyle w:val="33"/>
      </w:pPr>
      <w:bookmarkStart w:id="106" w:name="_Toc469038342"/>
      <w:r>
        <w:rPr>
          <w:rFonts w:hint="eastAsia"/>
        </w:rPr>
        <w:t>1.不同</w:t>
      </w:r>
      <w:r>
        <w:t>学历</w:t>
      </w:r>
      <w:r>
        <w:rPr>
          <w:rFonts w:hint="eastAsia"/>
        </w:rPr>
        <w:t>层次薪资</w:t>
      </w:r>
      <w:r>
        <w:t>水平</w:t>
      </w:r>
      <w:bookmarkEnd w:id="106"/>
    </w:p>
    <w:p>
      <w:pPr>
        <w:pStyle w:val="40"/>
      </w:pPr>
      <w:r>
        <w:rPr>
          <w:rFonts w:hint="eastAsia"/>
        </w:rPr>
        <w:t>根据</w:t>
      </w:r>
      <w:r>
        <w:t>调研数据，总体来看，毕业生薪资水平在3</w:t>
      </w:r>
      <w:r>
        <w:rPr>
          <w:rFonts w:hint="eastAsia"/>
        </w:rPr>
        <w:t>001</w:t>
      </w:r>
      <w:r>
        <w:t>-4000</w:t>
      </w:r>
      <w:r>
        <w:rPr>
          <w:rFonts w:hint="eastAsia"/>
        </w:rPr>
        <w:t>元阶段</w:t>
      </w:r>
      <w:r>
        <w:t>的占比最高，达到</w:t>
      </w:r>
      <w:r>
        <w:rPr>
          <w:rFonts w:hint="eastAsia"/>
        </w:rPr>
        <w:t>40.38</w:t>
      </w:r>
      <w:r>
        <w:t>%</w:t>
      </w:r>
      <w:r>
        <w:rPr>
          <w:rFonts w:hint="eastAsia"/>
        </w:rPr>
        <w:t>，而2001</w:t>
      </w:r>
      <w:r>
        <w:t>-3000</w:t>
      </w:r>
      <w:r>
        <w:rPr>
          <w:rFonts w:hint="eastAsia"/>
        </w:rPr>
        <w:t>元薪资阶段所占比例稍高于4001</w:t>
      </w:r>
      <w:r>
        <w:t>-5000</w:t>
      </w:r>
      <w:r>
        <w:rPr>
          <w:rFonts w:hint="eastAsia"/>
        </w:rPr>
        <w:t>元</w:t>
      </w:r>
      <w:r>
        <w:t>阶段的占比</w:t>
      </w:r>
      <w:r>
        <w:rPr>
          <w:rFonts w:hint="eastAsia"/>
        </w:rPr>
        <w:t>，分别为25.73</w:t>
      </w:r>
      <w:r>
        <w:t>%</w:t>
      </w:r>
      <w:r>
        <w:rPr>
          <w:rFonts w:hint="eastAsia"/>
        </w:rPr>
        <w:t>、17.40</w:t>
      </w:r>
      <w:r>
        <w:t>%，</w:t>
      </w:r>
      <w:r>
        <w:rPr>
          <w:rFonts w:hint="eastAsia"/>
        </w:rPr>
        <w:t>低</w:t>
      </w:r>
      <w:r>
        <w:t>薪资水平</w:t>
      </w:r>
      <w:r>
        <w:rPr>
          <w:rFonts w:hint="eastAsia"/>
        </w:rPr>
        <w:t>如2000元</w:t>
      </w:r>
      <w:r>
        <w:t>以下的</w:t>
      </w:r>
      <w:r>
        <w:rPr>
          <w:rFonts w:hint="eastAsia"/>
        </w:rPr>
        <w:t>仅</w:t>
      </w:r>
      <w:r>
        <w:t>占1.10%，</w:t>
      </w:r>
      <w:r>
        <w:rPr>
          <w:rFonts w:hint="eastAsia"/>
        </w:rPr>
        <w:t>而</w:t>
      </w:r>
      <w:r>
        <w:t>高薪资水平</w:t>
      </w:r>
      <w:r>
        <w:rPr>
          <w:rFonts w:hint="eastAsia"/>
        </w:rPr>
        <w:t>8000元</w:t>
      </w:r>
      <w:r>
        <w:t>以上的占</w:t>
      </w:r>
      <w:r>
        <w:rPr>
          <w:rFonts w:hint="eastAsia"/>
        </w:rPr>
        <w:t>到</w:t>
      </w:r>
      <w:r>
        <w:t>2.29%。</w:t>
      </w:r>
    </w:p>
    <w:p>
      <w:pPr>
        <w:pStyle w:val="40"/>
      </w:pPr>
      <w:r>
        <w:rPr>
          <w:rFonts w:hint="eastAsia"/>
        </w:rPr>
        <w:t>分学历</w:t>
      </w:r>
      <w:r>
        <w:t>来看，</w:t>
      </w:r>
      <w:r>
        <w:rPr>
          <w:rFonts w:hint="eastAsia"/>
        </w:rPr>
        <w:t>本科生</w:t>
      </w:r>
      <w:r>
        <w:t>薪资水平与总体保持一致，</w:t>
      </w:r>
      <w:r>
        <w:rPr>
          <w:rFonts w:hint="eastAsia"/>
        </w:rPr>
        <w:t>占比最高的仍是3001</w:t>
      </w:r>
      <w:r>
        <w:t>-4000</w:t>
      </w:r>
      <w:r>
        <w:rPr>
          <w:rFonts w:hint="eastAsia"/>
        </w:rPr>
        <w:t>元，</w:t>
      </w:r>
      <w:r>
        <w:t>而专科生有62.07%%的毕业生薪资</w:t>
      </w:r>
      <w:r>
        <w:rPr>
          <w:rFonts w:hint="eastAsia"/>
        </w:rPr>
        <w:t>集中</w:t>
      </w:r>
      <w:r>
        <w:t>在</w:t>
      </w:r>
      <w:r>
        <w:rPr>
          <w:rFonts w:hint="eastAsia"/>
        </w:rPr>
        <w:t>2001</w:t>
      </w:r>
      <w:r>
        <w:t>-3000</w:t>
      </w:r>
      <w:r>
        <w:rPr>
          <w:rFonts w:hint="eastAsia"/>
        </w:rPr>
        <w:t>元</w:t>
      </w:r>
      <w:r>
        <w:t>，</w:t>
      </w:r>
      <w:r>
        <w:rPr>
          <w:rFonts w:hint="eastAsia"/>
        </w:rPr>
        <w:t>这个薪资阶段</w:t>
      </w:r>
      <w:r>
        <w:t>的比例高于</w:t>
      </w:r>
      <w:r>
        <w:rPr>
          <w:rFonts w:hint="eastAsia"/>
        </w:rPr>
        <w:t>本科。3001</w:t>
      </w:r>
      <w:r>
        <w:t>-4000</w:t>
      </w:r>
      <w:r>
        <w:rPr>
          <w:rFonts w:hint="eastAsia"/>
        </w:rPr>
        <w:t>元</w:t>
      </w:r>
      <w:r>
        <w:t>这个薪资阶段</w:t>
      </w:r>
      <w:r>
        <w:rPr>
          <w:rFonts w:hint="eastAsia"/>
        </w:rPr>
        <w:t>专科生</w:t>
      </w:r>
      <w:r>
        <w:t>比例低于本科生</w:t>
      </w:r>
      <w:r>
        <w:rPr>
          <w:rFonts w:hint="eastAsia"/>
        </w:rPr>
        <w:t>。详见图3</w:t>
      </w:r>
      <w:r>
        <w:t>-6。</w:t>
      </w:r>
    </w:p>
    <w:p>
      <w:pPr>
        <w:jc w:val="center"/>
      </w:pPr>
      <w:r>
        <w:drawing>
          <wp:inline distT="0" distB="0" distL="0" distR="0">
            <wp:extent cx="4572000" cy="2952750"/>
            <wp:effectExtent l="0" t="0" r="0" b="0"/>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pStyle w:val="8"/>
        <w:jc w:val="center"/>
        <w:rPr>
          <w:rFonts w:asciiTheme="minorEastAsia" w:hAnsiTheme="minorEastAsia" w:eastAsiaTheme="minorEastAsia"/>
          <w:sz w:val="18"/>
          <w:szCs w:val="18"/>
        </w:rPr>
      </w:pPr>
      <w:bookmarkStart w:id="107" w:name="_Toc470887024"/>
      <w:r>
        <w:rPr>
          <w:rFonts w:hint="eastAsia" w:asciiTheme="minorEastAsia" w:hAnsiTheme="minorEastAsia" w:eastAsiaTheme="minorEastAsia"/>
          <w:sz w:val="18"/>
          <w:szCs w:val="18"/>
        </w:rPr>
        <w:t>图3-</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图3-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6</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已落实</w:t>
      </w:r>
      <w:r>
        <w:rPr>
          <w:rFonts w:asciiTheme="minorEastAsia" w:hAnsiTheme="minorEastAsia" w:eastAsiaTheme="minorEastAsia"/>
          <w:sz w:val="18"/>
          <w:szCs w:val="18"/>
        </w:rPr>
        <w:t>就业单位毕业生</w:t>
      </w:r>
      <w:r>
        <w:rPr>
          <w:rFonts w:hint="eastAsia" w:asciiTheme="minorEastAsia" w:hAnsiTheme="minorEastAsia" w:eastAsiaTheme="minorEastAsia"/>
          <w:sz w:val="18"/>
          <w:szCs w:val="18"/>
        </w:rPr>
        <w:t>薪资水平</w:t>
      </w:r>
      <w:bookmarkEnd w:id="107"/>
    </w:p>
    <w:p>
      <w:pPr>
        <w:pStyle w:val="33"/>
      </w:pPr>
      <w:bookmarkStart w:id="108" w:name="_Toc469038343"/>
      <w:r>
        <w:t>2.</w:t>
      </w:r>
      <w:r>
        <w:rPr>
          <w:rFonts w:hint="eastAsia"/>
        </w:rPr>
        <w:t>不同专业</w:t>
      </w:r>
      <w:r>
        <w:t>毕业生</w:t>
      </w:r>
      <w:r>
        <w:rPr>
          <w:rFonts w:hint="eastAsia"/>
        </w:rPr>
        <w:t>薪资</w:t>
      </w:r>
      <w:r>
        <w:t>水平</w:t>
      </w:r>
      <w:bookmarkEnd w:id="108"/>
    </w:p>
    <w:p>
      <w:pPr>
        <w:pStyle w:val="37"/>
      </w:pPr>
      <w:bookmarkStart w:id="109" w:name="_Toc469038344"/>
      <w:r>
        <w:rPr>
          <w:rFonts w:hint="eastAsia"/>
        </w:rPr>
        <w:t>（1）本科</w:t>
      </w:r>
      <w:r>
        <w:t>生</w:t>
      </w:r>
      <w:bookmarkEnd w:id="109"/>
    </w:p>
    <w:p>
      <w:pPr>
        <w:pStyle w:val="40"/>
      </w:pPr>
      <w:r>
        <w:rPr>
          <w:rFonts w:hint="eastAsia"/>
        </w:rPr>
        <w:t>根据调研</w:t>
      </w:r>
      <w:r>
        <w:t>数据</w:t>
      </w:r>
      <w:r>
        <w:rPr>
          <w:rFonts w:hint="eastAsia"/>
        </w:rPr>
        <w:t>，学校</w:t>
      </w:r>
      <w:r>
        <w:t>特色专业</w:t>
      </w:r>
      <w:r>
        <w:rPr>
          <w:rFonts w:hint="eastAsia"/>
        </w:rPr>
        <w:t>金融学</w:t>
      </w:r>
      <w:r>
        <w:t>、会计学、</w:t>
      </w:r>
      <w:r>
        <w:rPr>
          <w:rFonts w:hint="eastAsia"/>
        </w:rPr>
        <w:t>物流管理</w:t>
      </w:r>
      <w:r>
        <w:t>和</w:t>
      </w:r>
      <w:r>
        <w:rPr>
          <w:rFonts w:hint="eastAsia"/>
        </w:rPr>
        <w:t>财务管理薪资</w:t>
      </w:r>
      <w:r>
        <w:t>在</w:t>
      </w:r>
      <w:r>
        <w:rPr>
          <w:rFonts w:hint="eastAsia"/>
        </w:rPr>
        <w:t>3001-5000元</w:t>
      </w:r>
      <w:r>
        <w:t>之间的占比</w:t>
      </w:r>
      <w:r>
        <w:rPr>
          <w:rFonts w:hint="eastAsia"/>
        </w:rPr>
        <w:t>均在50.00</w:t>
      </w:r>
      <w:r>
        <w:t>%以上，</w:t>
      </w:r>
      <w:r>
        <w:rPr>
          <w:rFonts w:hint="eastAsia"/>
        </w:rPr>
        <w:t>信息与计算科学专业有15.38</w:t>
      </w:r>
      <w:r>
        <w:t>%的毕业生薪资在</w:t>
      </w:r>
      <w:r>
        <w:rPr>
          <w:rFonts w:hint="eastAsia"/>
        </w:rPr>
        <w:t>8000元</w:t>
      </w:r>
      <w:r>
        <w:t>以上</w:t>
      </w:r>
      <w:r>
        <w:rPr>
          <w:rFonts w:hint="eastAsia"/>
        </w:rPr>
        <w:t>。</w:t>
      </w:r>
      <w:r>
        <w:t>详见表</w:t>
      </w:r>
      <w:r>
        <w:rPr>
          <w:rFonts w:hint="eastAsia"/>
        </w:rPr>
        <w:t>3</w:t>
      </w:r>
      <w:r>
        <w:t>-1</w:t>
      </w:r>
      <w:r>
        <w:rPr>
          <w:rFonts w:hint="eastAsia"/>
        </w:rPr>
        <w:t>。</w:t>
      </w:r>
    </w:p>
    <w:p>
      <w:pPr>
        <w:pStyle w:val="8"/>
        <w:jc w:val="center"/>
        <w:rPr>
          <w:rFonts w:asciiTheme="minorEastAsia" w:hAnsiTheme="minorEastAsia" w:eastAsiaTheme="minorEastAsia"/>
          <w:sz w:val="18"/>
          <w:szCs w:val="18"/>
        </w:rPr>
      </w:pPr>
      <w:bookmarkStart w:id="110" w:name="_Toc470886978"/>
      <w:r>
        <w:rPr>
          <w:rFonts w:hint="eastAsia" w:asciiTheme="minorEastAsia" w:hAnsiTheme="minorEastAsia" w:eastAsiaTheme="minorEastAsia"/>
          <w:sz w:val="18"/>
          <w:szCs w:val="18"/>
        </w:rPr>
        <w:t>表3-</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表3-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1</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本科生</w:t>
      </w:r>
      <w:r>
        <w:rPr>
          <w:rFonts w:asciiTheme="minorEastAsia" w:hAnsiTheme="minorEastAsia" w:eastAsiaTheme="minorEastAsia"/>
          <w:sz w:val="18"/>
          <w:szCs w:val="18"/>
        </w:rPr>
        <w:t>不同专业薪资水平</w:t>
      </w:r>
      <w:bookmarkEnd w:id="110"/>
    </w:p>
    <w:tbl>
      <w:tblPr>
        <w:tblStyle w:val="22"/>
        <w:tblW w:w="9206" w:type="dxa"/>
        <w:tblInd w:w="0" w:type="dxa"/>
        <w:tblLayout w:type="fixed"/>
        <w:tblCellMar>
          <w:top w:w="0" w:type="dxa"/>
          <w:left w:w="108" w:type="dxa"/>
          <w:bottom w:w="0" w:type="dxa"/>
          <w:right w:w="108" w:type="dxa"/>
        </w:tblCellMar>
      </w:tblPr>
      <w:tblGrid>
        <w:gridCol w:w="1836"/>
        <w:gridCol w:w="1167"/>
        <w:gridCol w:w="1259"/>
        <w:gridCol w:w="1259"/>
        <w:gridCol w:w="1259"/>
        <w:gridCol w:w="1259"/>
        <w:gridCol w:w="1167"/>
      </w:tblGrid>
      <w:tr>
        <w:tblPrEx>
          <w:tblLayout w:type="fixed"/>
          <w:tblCellMar>
            <w:top w:w="0" w:type="dxa"/>
            <w:left w:w="108" w:type="dxa"/>
            <w:bottom w:w="0" w:type="dxa"/>
            <w:right w:w="108" w:type="dxa"/>
          </w:tblCellMar>
        </w:tblPrEx>
        <w:trPr>
          <w:trHeight w:val="285" w:hRule="atLeast"/>
        </w:trPr>
        <w:tc>
          <w:tcPr>
            <w:tcW w:w="1836" w:type="dxa"/>
            <w:tcBorders>
              <w:top w:val="single" w:color="ED7D31" w:sz="8" w:space="0"/>
              <w:left w:val="single" w:color="ED7D31" w:sz="8" w:space="0"/>
              <w:bottom w:val="single" w:color="ED7D31" w:sz="8" w:space="0"/>
              <w:right w:val="nil"/>
            </w:tcBorders>
            <w:shd w:val="clear" w:color="000000" w:fill="ED7D31"/>
            <w:vAlign w:val="center"/>
          </w:tcPr>
          <w:p>
            <w:pPr>
              <w:widowControl/>
              <w:jc w:val="center"/>
              <w:rPr>
                <w:rFonts w:ascii="宋体" w:hAnsi="宋体" w:eastAsia="宋体" w:cs="宋体"/>
                <w:b/>
                <w:bCs/>
                <w:color w:val="FFFFFF"/>
                <w:kern w:val="0"/>
                <w:sz w:val="18"/>
                <w:szCs w:val="18"/>
              </w:rPr>
            </w:pPr>
            <w:r>
              <w:rPr>
                <w:rFonts w:hint="eastAsia" w:ascii="宋体" w:hAnsi="宋体" w:eastAsia="宋体" w:cs="宋体"/>
                <w:b/>
                <w:bCs/>
                <w:color w:val="FFFFFF"/>
                <w:kern w:val="0"/>
                <w:sz w:val="18"/>
                <w:szCs w:val="18"/>
              </w:rPr>
              <w:t>专业</w:t>
            </w:r>
          </w:p>
        </w:tc>
        <w:tc>
          <w:tcPr>
            <w:tcW w:w="1167" w:type="dxa"/>
            <w:tcBorders>
              <w:top w:val="single" w:color="ED7D31" w:sz="8" w:space="0"/>
              <w:left w:val="nil"/>
              <w:bottom w:val="single" w:color="ED7D31" w:sz="8" w:space="0"/>
              <w:right w:val="nil"/>
            </w:tcBorders>
            <w:shd w:val="clear" w:color="000000" w:fill="ED7D31"/>
            <w:vAlign w:val="center"/>
          </w:tcPr>
          <w:p>
            <w:pPr>
              <w:widowControl/>
              <w:jc w:val="center"/>
              <w:rPr>
                <w:rFonts w:ascii="宋体" w:hAnsi="宋体" w:eastAsia="宋体" w:cs="宋体"/>
                <w:b/>
                <w:bCs/>
                <w:color w:val="FFFFFF"/>
                <w:kern w:val="0"/>
                <w:sz w:val="18"/>
                <w:szCs w:val="18"/>
              </w:rPr>
            </w:pPr>
            <w:r>
              <w:rPr>
                <w:rFonts w:hint="eastAsia" w:ascii="宋体" w:hAnsi="宋体" w:eastAsia="宋体" w:cs="宋体"/>
                <w:b/>
                <w:bCs/>
                <w:color w:val="FFFFFF"/>
                <w:kern w:val="0"/>
                <w:sz w:val="18"/>
                <w:szCs w:val="18"/>
              </w:rPr>
              <w:t>2000元以下</w:t>
            </w:r>
          </w:p>
        </w:tc>
        <w:tc>
          <w:tcPr>
            <w:tcW w:w="1259" w:type="dxa"/>
            <w:tcBorders>
              <w:top w:val="single" w:color="ED7D31" w:sz="8" w:space="0"/>
              <w:left w:val="nil"/>
              <w:bottom w:val="single" w:color="ED7D31" w:sz="8" w:space="0"/>
              <w:right w:val="nil"/>
            </w:tcBorders>
            <w:shd w:val="clear" w:color="000000" w:fill="ED7D31"/>
            <w:vAlign w:val="center"/>
          </w:tcPr>
          <w:p>
            <w:pPr>
              <w:widowControl/>
              <w:jc w:val="center"/>
              <w:rPr>
                <w:rFonts w:ascii="宋体" w:hAnsi="宋体" w:eastAsia="宋体" w:cs="宋体"/>
                <w:b/>
                <w:bCs/>
                <w:color w:val="FFFFFF"/>
                <w:kern w:val="0"/>
                <w:sz w:val="18"/>
                <w:szCs w:val="18"/>
              </w:rPr>
            </w:pPr>
            <w:r>
              <w:rPr>
                <w:rFonts w:hint="eastAsia" w:ascii="宋体" w:hAnsi="宋体" w:eastAsia="宋体" w:cs="宋体"/>
                <w:b/>
                <w:bCs/>
                <w:color w:val="FFFFFF"/>
                <w:kern w:val="0"/>
                <w:sz w:val="18"/>
                <w:szCs w:val="18"/>
              </w:rPr>
              <w:t>2001-3000元</w:t>
            </w:r>
          </w:p>
        </w:tc>
        <w:tc>
          <w:tcPr>
            <w:tcW w:w="1259" w:type="dxa"/>
            <w:tcBorders>
              <w:top w:val="single" w:color="ED7D31" w:sz="8" w:space="0"/>
              <w:left w:val="nil"/>
              <w:bottom w:val="single" w:color="ED7D31" w:sz="8" w:space="0"/>
              <w:right w:val="nil"/>
            </w:tcBorders>
            <w:shd w:val="clear" w:color="000000" w:fill="ED7D31"/>
            <w:vAlign w:val="center"/>
          </w:tcPr>
          <w:p>
            <w:pPr>
              <w:widowControl/>
              <w:jc w:val="center"/>
              <w:rPr>
                <w:rFonts w:ascii="宋体" w:hAnsi="宋体" w:eastAsia="宋体" w:cs="宋体"/>
                <w:b/>
                <w:bCs/>
                <w:color w:val="FFFFFF"/>
                <w:kern w:val="0"/>
                <w:sz w:val="18"/>
                <w:szCs w:val="18"/>
              </w:rPr>
            </w:pPr>
            <w:r>
              <w:rPr>
                <w:rFonts w:hint="eastAsia" w:ascii="宋体" w:hAnsi="宋体" w:eastAsia="宋体" w:cs="宋体"/>
                <w:b/>
                <w:bCs/>
                <w:color w:val="FFFFFF"/>
                <w:kern w:val="0"/>
                <w:sz w:val="18"/>
                <w:szCs w:val="18"/>
              </w:rPr>
              <w:t>3001-4000元</w:t>
            </w:r>
          </w:p>
        </w:tc>
        <w:tc>
          <w:tcPr>
            <w:tcW w:w="1259" w:type="dxa"/>
            <w:tcBorders>
              <w:top w:val="single" w:color="ED7D31" w:sz="8" w:space="0"/>
              <w:left w:val="nil"/>
              <w:bottom w:val="single" w:color="ED7D31" w:sz="8" w:space="0"/>
              <w:right w:val="nil"/>
            </w:tcBorders>
            <w:shd w:val="clear" w:color="000000" w:fill="ED7D31"/>
            <w:vAlign w:val="center"/>
          </w:tcPr>
          <w:p>
            <w:pPr>
              <w:widowControl/>
              <w:jc w:val="center"/>
              <w:rPr>
                <w:rFonts w:ascii="宋体" w:hAnsi="宋体" w:eastAsia="宋体" w:cs="宋体"/>
                <w:b/>
                <w:bCs/>
                <w:color w:val="FFFFFF"/>
                <w:kern w:val="0"/>
                <w:sz w:val="18"/>
                <w:szCs w:val="18"/>
              </w:rPr>
            </w:pPr>
            <w:r>
              <w:rPr>
                <w:rFonts w:hint="eastAsia" w:ascii="宋体" w:hAnsi="宋体" w:eastAsia="宋体" w:cs="宋体"/>
                <w:b/>
                <w:bCs/>
                <w:color w:val="FFFFFF"/>
                <w:kern w:val="0"/>
                <w:sz w:val="18"/>
                <w:szCs w:val="18"/>
              </w:rPr>
              <w:t>4001-5000元</w:t>
            </w:r>
          </w:p>
        </w:tc>
        <w:tc>
          <w:tcPr>
            <w:tcW w:w="1259" w:type="dxa"/>
            <w:tcBorders>
              <w:top w:val="single" w:color="ED7D31" w:sz="8" w:space="0"/>
              <w:left w:val="nil"/>
              <w:bottom w:val="single" w:color="ED7D31" w:sz="8" w:space="0"/>
              <w:right w:val="nil"/>
            </w:tcBorders>
            <w:shd w:val="clear" w:color="000000" w:fill="ED7D31"/>
            <w:vAlign w:val="center"/>
          </w:tcPr>
          <w:p>
            <w:pPr>
              <w:widowControl/>
              <w:jc w:val="center"/>
              <w:rPr>
                <w:rFonts w:ascii="宋体" w:hAnsi="宋体" w:eastAsia="宋体" w:cs="宋体"/>
                <w:b/>
                <w:bCs/>
                <w:color w:val="FFFFFF"/>
                <w:kern w:val="0"/>
                <w:sz w:val="18"/>
                <w:szCs w:val="18"/>
              </w:rPr>
            </w:pPr>
            <w:r>
              <w:rPr>
                <w:rFonts w:hint="eastAsia" w:ascii="宋体" w:hAnsi="宋体" w:eastAsia="宋体" w:cs="宋体"/>
                <w:b/>
                <w:bCs/>
                <w:color w:val="FFFFFF"/>
                <w:kern w:val="0"/>
                <w:sz w:val="18"/>
                <w:szCs w:val="18"/>
              </w:rPr>
              <w:t>5001-8000元</w:t>
            </w:r>
          </w:p>
        </w:tc>
        <w:tc>
          <w:tcPr>
            <w:tcW w:w="1167" w:type="dxa"/>
            <w:tcBorders>
              <w:top w:val="single" w:color="ED7D31" w:sz="8" w:space="0"/>
              <w:left w:val="nil"/>
              <w:bottom w:val="single" w:color="ED7D31" w:sz="8" w:space="0"/>
              <w:right w:val="nil"/>
            </w:tcBorders>
            <w:shd w:val="clear" w:color="000000" w:fill="ED7D31"/>
            <w:vAlign w:val="center"/>
          </w:tcPr>
          <w:p>
            <w:pPr>
              <w:widowControl/>
              <w:jc w:val="center"/>
              <w:rPr>
                <w:rFonts w:ascii="宋体" w:hAnsi="宋体" w:eastAsia="宋体" w:cs="宋体"/>
                <w:b/>
                <w:bCs/>
                <w:color w:val="FFFFFF"/>
                <w:kern w:val="0"/>
                <w:sz w:val="18"/>
                <w:szCs w:val="18"/>
              </w:rPr>
            </w:pPr>
            <w:r>
              <w:rPr>
                <w:rFonts w:hint="eastAsia" w:ascii="宋体" w:hAnsi="宋体" w:eastAsia="宋体" w:cs="宋体"/>
                <w:b/>
                <w:bCs/>
                <w:color w:val="FFFFFF"/>
                <w:kern w:val="0"/>
                <w:sz w:val="18"/>
                <w:szCs w:val="18"/>
              </w:rPr>
              <w:t>8000元以上</w:t>
            </w:r>
          </w:p>
        </w:tc>
      </w:tr>
      <w:tr>
        <w:tblPrEx>
          <w:tblLayout w:type="fixed"/>
          <w:tblCellMar>
            <w:top w:w="0" w:type="dxa"/>
            <w:left w:w="108" w:type="dxa"/>
            <w:bottom w:w="0" w:type="dxa"/>
            <w:right w:w="108" w:type="dxa"/>
          </w:tblCellMar>
        </w:tblPrEx>
        <w:trPr>
          <w:trHeight w:val="285" w:hRule="atLeast"/>
        </w:trPr>
        <w:tc>
          <w:tcPr>
            <w:tcW w:w="1836" w:type="dxa"/>
            <w:tcBorders>
              <w:top w:val="nil"/>
              <w:left w:val="single" w:color="F4B083" w:sz="8" w:space="0"/>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金融学</w:t>
            </w:r>
          </w:p>
        </w:tc>
        <w:tc>
          <w:tcPr>
            <w:tcW w:w="1167"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1.07</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28.06</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41.96</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17.94</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9.52</w:t>
            </w:r>
          </w:p>
        </w:tc>
        <w:tc>
          <w:tcPr>
            <w:tcW w:w="1167"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1.45</w:t>
            </w:r>
          </w:p>
        </w:tc>
      </w:tr>
      <w:tr>
        <w:tblPrEx>
          <w:tblLayout w:type="fixed"/>
          <w:tblCellMar>
            <w:top w:w="0" w:type="dxa"/>
            <w:left w:w="108" w:type="dxa"/>
            <w:bottom w:w="0" w:type="dxa"/>
            <w:right w:w="108" w:type="dxa"/>
          </w:tblCellMar>
        </w:tblPrEx>
        <w:trPr>
          <w:trHeight w:val="285" w:hRule="atLeast"/>
        </w:trPr>
        <w:tc>
          <w:tcPr>
            <w:tcW w:w="1836" w:type="dxa"/>
            <w:tcBorders>
              <w:top w:val="nil"/>
              <w:left w:val="single" w:color="F4B083" w:sz="8" w:space="0"/>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会计学</w:t>
            </w:r>
          </w:p>
        </w:tc>
        <w:tc>
          <w:tcPr>
            <w:tcW w:w="1167"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1.73</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35.45</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40.00</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15.45</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7.37</w:t>
            </w:r>
          </w:p>
        </w:tc>
        <w:tc>
          <w:tcPr>
            <w:tcW w:w="1167"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r>
      <w:tr>
        <w:tblPrEx>
          <w:tblLayout w:type="fixed"/>
          <w:tblCellMar>
            <w:top w:w="0" w:type="dxa"/>
            <w:left w:w="108" w:type="dxa"/>
            <w:bottom w:w="0" w:type="dxa"/>
            <w:right w:w="108" w:type="dxa"/>
          </w:tblCellMar>
        </w:tblPrEx>
        <w:trPr>
          <w:trHeight w:val="285" w:hRule="atLeast"/>
        </w:trPr>
        <w:tc>
          <w:tcPr>
            <w:tcW w:w="1836" w:type="dxa"/>
            <w:tcBorders>
              <w:top w:val="nil"/>
              <w:left w:val="single" w:color="F4B083" w:sz="8" w:space="0"/>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市场营销</w:t>
            </w:r>
          </w:p>
        </w:tc>
        <w:tc>
          <w:tcPr>
            <w:tcW w:w="1167"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2.50</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32.50</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40.00</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12.50</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11.25</w:t>
            </w:r>
          </w:p>
        </w:tc>
        <w:tc>
          <w:tcPr>
            <w:tcW w:w="1167"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1.25</w:t>
            </w:r>
          </w:p>
        </w:tc>
      </w:tr>
      <w:tr>
        <w:tblPrEx>
          <w:tblLayout w:type="fixed"/>
          <w:tblCellMar>
            <w:top w:w="0" w:type="dxa"/>
            <w:left w:w="108" w:type="dxa"/>
            <w:bottom w:w="0" w:type="dxa"/>
            <w:right w:w="108" w:type="dxa"/>
          </w:tblCellMar>
        </w:tblPrEx>
        <w:trPr>
          <w:trHeight w:val="285" w:hRule="atLeast"/>
        </w:trPr>
        <w:tc>
          <w:tcPr>
            <w:tcW w:w="1836" w:type="dxa"/>
            <w:tcBorders>
              <w:top w:val="nil"/>
              <w:left w:val="single" w:color="F4B083" w:sz="8" w:space="0"/>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物流管理</w:t>
            </w:r>
          </w:p>
        </w:tc>
        <w:tc>
          <w:tcPr>
            <w:tcW w:w="1167"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2.60</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15.58</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24.68</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35.06</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22.08</w:t>
            </w:r>
          </w:p>
        </w:tc>
        <w:tc>
          <w:tcPr>
            <w:tcW w:w="1167"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r>
      <w:tr>
        <w:tblPrEx>
          <w:tblLayout w:type="fixed"/>
          <w:tblCellMar>
            <w:top w:w="0" w:type="dxa"/>
            <w:left w:w="108" w:type="dxa"/>
            <w:bottom w:w="0" w:type="dxa"/>
            <w:right w:w="108" w:type="dxa"/>
          </w:tblCellMar>
        </w:tblPrEx>
        <w:trPr>
          <w:trHeight w:val="285" w:hRule="atLeast"/>
        </w:trPr>
        <w:tc>
          <w:tcPr>
            <w:tcW w:w="1836" w:type="dxa"/>
            <w:tcBorders>
              <w:top w:val="nil"/>
              <w:left w:val="single" w:color="F4B083" w:sz="8" w:space="0"/>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财务管理</w:t>
            </w:r>
          </w:p>
        </w:tc>
        <w:tc>
          <w:tcPr>
            <w:tcW w:w="1167"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28.24</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43.76</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19.18</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8.82</w:t>
            </w:r>
          </w:p>
        </w:tc>
        <w:tc>
          <w:tcPr>
            <w:tcW w:w="1167"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r>
      <w:tr>
        <w:tblPrEx>
          <w:tblLayout w:type="fixed"/>
          <w:tblCellMar>
            <w:top w:w="0" w:type="dxa"/>
            <w:left w:w="108" w:type="dxa"/>
            <w:bottom w:w="0" w:type="dxa"/>
            <w:right w:w="108" w:type="dxa"/>
          </w:tblCellMar>
        </w:tblPrEx>
        <w:trPr>
          <w:trHeight w:val="285" w:hRule="atLeast"/>
        </w:trPr>
        <w:tc>
          <w:tcPr>
            <w:tcW w:w="1836" w:type="dxa"/>
            <w:tcBorders>
              <w:top w:val="nil"/>
              <w:left w:val="single" w:color="F4B083" w:sz="8" w:space="0"/>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信息管理与信息系统</w:t>
            </w:r>
          </w:p>
        </w:tc>
        <w:tc>
          <w:tcPr>
            <w:tcW w:w="1167"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2.18</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22.36</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55.73</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12.45</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7.27</w:t>
            </w:r>
          </w:p>
        </w:tc>
        <w:tc>
          <w:tcPr>
            <w:tcW w:w="1167"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r>
      <w:tr>
        <w:tblPrEx>
          <w:tblLayout w:type="fixed"/>
          <w:tblCellMar>
            <w:top w:w="0" w:type="dxa"/>
            <w:left w:w="108" w:type="dxa"/>
            <w:bottom w:w="0" w:type="dxa"/>
            <w:right w:w="108" w:type="dxa"/>
          </w:tblCellMar>
        </w:tblPrEx>
        <w:trPr>
          <w:trHeight w:val="285" w:hRule="atLeast"/>
        </w:trPr>
        <w:tc>
          <w:tcPr>
            <w:tcW w:w="1836" w:type="dxa"/>
            <w:tcBorders>
              <w:top w:val="nil"/>
              <w:left w:val="single" w:color="F4B083" w:sz="8" w:space="0"/>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人力资源管理</w:t>
            </w:r>
          </w:p>
        </w:tc>
        <w:tc>
          <w:tcPr>
            <w:tcW w:w="1167"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4.17</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25.00</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43.75</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25.00</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167"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2.08</w:t>
            </w:r>
          </w:p>
        </w:tc>
      </w:tr>
      <w:tr>
        <w:tblPrEx>
          <w:tblLayout w:type="fixed"/>
          <w:tblCellMar>
            <w:top w:w="0" w:type="dxa"/>
            <w:left w:w="108" w:type="dxa"/>
            <w:bottom w:w="0" w:type="dxa"/>
            <w:right w:w="108" w:type="dxa"/>
          </w:tblCellMar>
        </w:tblPrEx>
        <w:trPr>
          <w:trHeight w:val="285" w:hRule="atLeast"/>
        </w:trPr>
        <w:tc>
          <w:tcPr>
            <w:tcW w:w="1836" w:type="dxa"/>
            <w:tcBorders>
              <w:top w:val="nil"/>
              <w:left w:val="single" w:color="F4B083" w:sz="8" w:space="0"/>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计算机科学与技术</w:t>
            </w:r>
          </w:p>
        </w:tc>
        <w:tc>
          <w:tcPr>
            <w:tcW w:w="1167"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1.32</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17.01</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18.20</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26.83</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29.32</w:t>
            </w:r>
          </w:p>
        </w:tc>
        <w:tc>
          <w:tcPr>
            <w:tcW w:w="1167"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7.32</w:t>
            </w:r>
          </w:p>
        </w:tc>
      </w:tr>
      <w:tr>
        <w:tblPrEx>
          <w:tblLayout w:type="fixed"/>
          <w:tblCellMar>
            <w:top w:w="0" w:type="dxa"/>
            <w:left w:w="108" w:type="dxa"/>
            <w:bottom w:w="0" w:type="dxa"/>
            <w:right w:w="108" w:type="dxa"/>
          </w:tblCellMar>
        </w:tblPrEx>
        <w:trPr>
          <w:trHeight w:val="285" w:hRule="atLeast"/>
        </w:trPr>
        <w:tc>
          <w:tcPr>
            <w:tcW w:w="1836" w:type="dxa"/>
            <w:tcBorders>
              <w:top w:val="nil"/>
              <w:left w:val="single" w:color="F4B083" w:sz="8" w:space="0"/>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工商管理</w:t>
            </w:r>
          </w:p>
        </w:tc>
        <w:tc>
          <w:tcPr>
            <w:tcW w:w="1167"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5.71</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14.29</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40.00</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25.71</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14.29</w:t>
            </w:r>
          </w:p>
        </w:tc>
        <w:tc>
          <w:tcPr>
            <w:tcW w:w="1167"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r>
      <w:tr>
        <w:tblPrEx>
          <w:tblLayout w:type="fixed"/>
          <w:tblCellMar>
            <w:top w:w="0" w:type="dxa"/>
            <w:left w:w="108" w:type="dxa"/>
            <w:bottom w:w="0" w:type="dxa"/>
            <w:right w:w="108" w:type="dxa"/>
          </w:tblCellMar>
        </w:tblPrEx>
        <w:trPr>
          <w:trHeight w:val="285" w:hRule="atLeast"/>
        </w:trPr>
        <w:tc>
          <w:tcPr>
            <w:tcW w:w="1836" w:type="dxa"/>
            <w:tcBorders>
              <w:top w:val="nil"/>
              <w:left w:val="single" w:color="F4B083" w:sz="8" w:space="0"/>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国际经济与贸易</w:t>
            </w:r>
          </w:p>
        </w:tc>
        <w:tc>
          <w:tcPr>
            <w:tcW w:w="1167"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29.41</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41.18</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17.65</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11.76</w:t>
            </w:r>
          </w:p>
        </w:tc>
        <w:tc>
          <w:tcPr>
            <w:tcW w:w="1167"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r>
      <w:tr>
        <w:tblPrEx>
          <w:tblLayout w:type="fixed"/>
          <w:tblCellMar>
            <w:top w:w="0" w:type="dxa"/>
            <w:left w:w="108" w:type="dxa"/>
            <w:bottom w:w="0" w:type="dxa"/>
            <w:right w:w="108" w:type="dxa"/>
          </w:tblCellMar>
        </w:tblPrEx>
        <w:trPr>
          <w:trHeight w:val="285" w:hRule="atLeast"/>
        </w:trPr>
        <w:tc>
          <w:tcPr>
            <w:tcW w:w="1836" w:type="dxa"/>
            <w:tcBorders>
              <w:top w:val="nil"/>
              <w:left w:val="single" w:color="F4B083" w:sz="8" w:space="0"/>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英语</w:t>
            </w:r>
          </w:p>
        </w:tc>
        <w:tc>
          <w:tcPr>
            <w:tcW w:w="1167"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29.39</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46.36</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24.24</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167"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r>
      <w:tr>
        <w:tblPrEx>
          <w:tblLayout w:type="fixed"/>
          <w:tblCellMar>
            <w:top w:w="0" w:type="dxa"/>
            <w:left w:w="108" w:type="dxa"/>
            <w:bottom w:w="0" w:type="dxa"/>
            <w:right w:w="108" w:type="dxa"/>
          </w:tblCellMar>
        </w:tblPrEx>
        <w:trPr>
          <w:trHeight w:val="285" w:hRule="atLeast"/>
        </w:trPr>
        <w:tc>
          <w:tcPr>
            <w:tcW w:w="1836" w:type="dxa"/>
            <w:tcBorders>
              <w:top w:val="nil"/>
              <w:left w:val="single" w:color="F4B083" w:sz="8" w:space="0"/>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商务英语</w:t>
            </w:r>
          </w:p>
        </w:tc>
        <w:tc>
          <w:tcPr>
            <w:tcW w:w="1167"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2.90</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28.14</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48.28</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10.34</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10.35</w:t>
            </w:r>
          </w:p>
        </w:tc>
        <w:tc>
          <w:tcPr>
            <w:tcW w:w="1167"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r>
      <w:tr>
        <w:tblPrEx>
          <w:tblLayout w:type="fixed"/>
          <w:tblCellMar>
            <w:top w:w="0" w:type="dxa"/>
            <w:left w:w="108" w:type="dxa"/>
            <w:bottom w:w="0" w:type="dxa"/>
            <w:right w:w="108" w:type="dxa"/>
          </w:tblCellMar>
        </w:tblPrEx>
        <w:trPr>
          <w:trHeight w:val="285" w:hRule="atLeast"/>
        </w:trPr>
        <w:tc>
          <w:tcPr>
            <w:tcW w:w="1836" w:type="dxa"/>
            <w:tcBorders>
              <w:top w:val="nil"/>
              <w:left w:val="single" w:color="F4B083" w:sz="8" w:space="0"/>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电子信息工程</w:t>
            </w:r>
          </w:p>
        </w:tc>
        <w:tc>
          <w:tcPr>
            <w:tcW w:w="1167"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2.70</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25.93</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11.11</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40.74</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14.81</w:t>
            </w:r>
          </w:p>
        </w:tc>
        <w:tc>
          <w:tcPr>
            <w:tcW w:w="1167"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4.70</w:t>
            </w:r>
          </w:p>
        </w:tc>
      </w:tr>
      <w:tr>
        <w:tblPrEx>
          <w:tblLayout w:type="fixed"/>
          <w:tblCellMar>
            <w:top w:w="0" w:type="dxa"/>
            <w:left w:w="108" w:type="dxa"/>
            <w:bottom w:w="0" w:type="dxa"/>
            <w:right w:w="108" w:type="dxa"/>
          </w:tblCellMar>
        </w:tblPrEx>
        <w:trPr>
          <w:trHeight w:val="285" w:hRule="atLeast"/>
        </w:trPr>
        <w:tc>
          <w:tcPr>
            <w:tcW w:w="1836" w:type="dxa"/>
            <w:tcBorders>
              <w:top w:val="nil"/>
              <w:left w:val="single" w:color="F4B083" w:sz="8" w:space="0"/>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法学</w:t>
            </w:r>
          </w:p>
        </w:tc>
        <w:tc>
          <w:tcPr>
            <w:tcW w:w="1167"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4.00</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41.00</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30.00</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15.00</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10.00</w:t>
            </w:r>
          </w:p>
        </w:tc>
        <w:tc>
          <w:tcPr>
            <w:tcW w:w="1167"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r>
      <w:tr>
        <w:tblPrEx>
          <w:tblLayout w:type="fixed"/>
          <w:tblCellMar>
            <w:top w:w="0" w:type="dxa"/>
            <w:left w:w="108" w:type="dxa"/>
            <w:bottom w:w="0" w:type="dxa"/>
            <w:right w:w="108" w:type="dxa"/>
          </w:tblCellMar>
        </w:tblPrEx>
        <w:trPr>
          <w:trHeight w:val="285" w:hRule="atLeast"/>
        </w:trPr>
        <w:tc>
          <w:tcPr>
            <w:tcW w:w="1836" w:type="dxa"/>
            <w:tcBorders>
              <w:top w:val="nil"/>
              <w:left w:val="single" w:color="F4B083" w:sz="8" w:space="0"/>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汉语言文学</w:t>
            </w:r>
          </w:p>
        </w:tc>
        <w:tc>
          <w:tcPr>
            <w:tcW w:w="1167"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40.00</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30.00</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15.00</w:t>
            </w:r>
          </w:p>
        </w:tc>
        <w:tc>
          <w:tcPr>
            <w:tcW w:w="1167"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15.00</w:t>
            </w:r>
          </w:p>
        </w:tc>
      </w:tr>
      <w:tr>
        <w:tblPrEx>
          <w:tblLayout w:type="fixed"/>
          <w:tblCellMar>
            <w:top w:w="0" w:type="dxa"/>
            <w:left w:w="108" w:type="dxa"/>
            <w:bottom w:w="0" w:type="dxa"/>
            <w:right w:w="108" w:type="dxa"/>
          </w:tblCellMar>
        </w:tblPrEx>
        <w:trPr>
          <w:trHeight w:val="285" w:hRule="atLeast"/>
        </w:trPr>
        <w:tc>
          <w:tcPr>
            <w:tcW w:w="1836" w:type="dxa"/>
            <w:tcBorders>
              <w:top w:val="nil"/>
              <w:left w:val="single" w:color="F4B083" w:sz="8" w:space="0"/>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保险</w:t>
            </w:r>
          </w:p>
        </w:tc>
        <w:tc>
          <w:tcPr>
            <w:tcW w:w="1167"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30.00</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36.67</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20.00</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13.33</w:t>
            </w:r>
          </w:p>
        </w:tc>
        <w:tc>
          <w:tcPr>
            <w:tcW w:w="1167"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r>
      <w:tr>
        <w:tblPrEx>
          <w:tblLayout w:type="fixed"/>
          <w:tblCellMar>
            <w:top w:w="0" w:type="dxa"/>
            <w:left w:w="108" w:type="dxa"/>
            <w:bottom w:w="0" w:type="dxa"/>
            <w:right w:w="108" w:type="dxa"/>
          </w:tblCellMar>
        </w:tblPrEx>
        <w:trPr>
          <w:trHeight w:val="285" w:hRule="atLeast"/>
        </w:trPr>
        <w:tc>
          <w:tcPr>
            <w:tcW w:w="1836" w:type="dxa"/>
            <w:tcBorders>
              <w:top w:val="nil"/>
              <w:left w:val="single" w:color="F4B083" w:sz="8" w:space="0"/>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编辑出版学</w:t>
            </w:r>
          </w:p>
        </w:tc>
        <w:tc>
          <w:tcPr>
            <w:tcW w:w="1167"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26.67</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38.67</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28.00</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6.67</w:t>
            </w:r>
          </w:p>
        </w:tc>
        <w:tc>
          <w:tcPr>
            <w:tcW w:w="1167"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r>
      <w:tr>
        <w:tblPrEx>
          <w:tblLayout w:type="fixed"/>
          <w:tblCellMar>
            <w:top w:w="0" w:type="dxa"/>
            <w:left w:w="108" w:type="dxa"/>
            <w:bottom w:w="0" w:type="dxa"/>
            <w:right w:w="108" w:type="dxa"/>
          </w:tblCellMar>
        </w:tblPrEx>
        <w:trPr>
          <w:trHeight w:val="285" w:hRule="atLeast"/>
        </w:trPr>
        <w:tc>
          <w:tcPr>
            <w:tcW w:w="1836" w:type="dxa"/>
            <w:tcBorders>
              <w:top w:val="nil"/>
              <w:left w:val="single" w:color="F4B083" w:sz="8" w:space="0"/>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统计学</w:t>
            </w:r>
          </w:p>
        </w:tc>
        <w:tc>
          <w:tcPr>
            <w:tcW w:w="1167"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1.67</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25.00</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53.33</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20.00</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167"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r>
      <w:tr>
        <w:tblPrEx>
          <w:tblLayout w:type="fixed"/>
          <w:tblCellMar>
            <w:top w:w="0" w:type="dxa"/>
            <w:left w:w="108" w:type="dxa"/>
            <w:bottom w:w="0" w:type="dxa"/>
            <w:right w:w="108" w:type="dxa"/>
          </w:tblCellMar>
        </w:tblPrEx>
        <w:trPr>
          <w:trHeight w:val="285" w:hRule="atLeast"/>
        </w:trPr>
        <w:tc>
          <w:tcPr>
            <w:tcW w:w="1836" w:type="dxa"/>
            <w:tcBorders>
              <w:top w:val="nil"/>
              <w:left w:val="single" w:color="F4B083" w:sz="8" w:space="0"/>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会展经济与管理</w:t>
            </w:r>
          </w:p>
        </w:tc>
        <w:tc>
          <w:tcPr>
            <w:tcW w:w="1167"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23.08</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53.85</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15.38</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167"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7.69</w:t>
            </w:r>
          </w:p>
        </w:tc>
      </w:tr>
      <w:tr>
        <w:tblPrEx>
          <w:tblLayout w:type="fixed"/>
          <w:tblCellMar>
            <w:top w:w="0" w:type="dxa"/>
            <w:left w:w="108" w:type="dxa"/>
            <w:bottom w:w="0" w:type="dxa"/>
            <w:right w:w="108" w:type="dxa"/>
          </w:tblCellMar>
        </w:tblPrEx>
        <w:trPr>
          <w:trHeight w:val="285" w:hRule="atLeast"/>
        </w:trPr>
        <w:tc>
          <w:tcPr>
            <w:tcW w:w="1836" w:type="dxa"/>
            <w:tcBorders>
              <w:top w:val="nil"/>
              <w:left w:val="single" w:color="F4B083" w:sz="8" w:space="0"/>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信息与计算科学</w:t>
            </w:r>
          </w:p>
        </w:tc>
        <w:tc>
          <w:tcPr>
            <w:tcW w:w="1167"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7.69</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15.38</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7.69</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53.85</w:t>
            </w:r>
          </w:p>
        </w:tc>
        <w:tc>
          <w:tcPr>
            <w:tcW w:w="1167"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15.38</w:t>
            </w:r>
          </w:p>
        </w:tc>
      </w:tr>
      <w:tr>
        <w:tblPrEx>
          <w:tblLayout w:type="fixed"/>
          <w:tblCellMar>
            <w:top w:w="0" w:type="dxa"/>
            <w:left w:w="108" w:type="dxa"/>
            <w:bottom w:w="0" w:type="dxa"/>
            <w:right w:w="108" w:type="dxa"/>
          </w:tblCellMar>
        </w:tblPrEx>
        <w:trPr>
          <w:trHeight w:val="285" w:hRule="atLeast"/>
        </w:trPr>
        <w:tc>
          <w:tcPr>
            <w:tcW w:w="1836" w:type="dxa"/>
            <w:tcBorders>
              <w:top w:val="nil"/>
              <w:left w:val="single" w:color="F4B083" w:sz="8" w:space="0"/>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电子商务</w:t>
            </w:r>
          </w:p>
        </w:tc>
        <w:tc>
          <w:tcPr>
            <w:tcW w:w="1167"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25.00</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66.67</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8.33</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167"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r>
      <w:tr>
        <w:tblPrEx>
          <w:tblLayout w:type="fixed"/>
          <w:tblCellMar>
            <w:top w:w="0" w:type="dxa"/>
            <w:left w:w="108" w:type="dxa"/>
            <w:bottom w:w="0" w:type="dxa"/>
            <w:right w:w="108" w:type="dxa"/>
          </w:tblCellMar>
        </w:tblPrEx>
        <w:trPr>
          <w:trHeight w:val="285" w:hRule="atLeast"/>
        </w:trPr>
        <w:tc>
          <w:tcPr>
            <w:tcW w:w="1836" w:type="dxa"/>
            <w:tcBorders>
              <w:top w:val="nil"/>
              <w:left w:val="single" w:color="F4B083" w:sz="8" w:space="0"/>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酒店管理</w:t>
            </w:r>
          </w:p>
        </w:tc>
        <w:tc>
          <w:tcPr>
            <w:tcW w:w="1167"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43.33</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40.00</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8.33</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167"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8.33</w:t>
            </w:r>
          </w:p>
        </w:tc>
      </w:tr>
      <w:tr>
        <w:tblPrEx>
          <w:tblLayout w:type="fixed"/>
          <w:tblCellMar>
            <w:top w:w="0" w:type="dxa"/>
            <w:left w:w="108" w:type="dxa"/>
            <w:bottom w:w="0" w:type="dxa"/>
            <w:right w:w="108" w:type="dxa"/>
          </w:tblCellMar>
        </w:tblPrEx>
        <w:trPr>
          <w:trHeight w:val="285" w:hRule="atLeast"/>
        </w:trPr>
        <w:tc>
          <w:tcPr>
            <w:tcW w:w="1836" w:type="dxa"/>
            <w:tcBorders>
              <w:top w:val="nil"/>
              <w:left w:val="single" w:color="F4B083" w:sz="8" w:space="0"/>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贸易经济</w:t>
            </w:r>
          </w:p>
        </w:tc>
        <w:tc>
          <w:tcPr>
            <w:tcW w:w="1167"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41.67</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41.67</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8.33</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8.33</w:t>
            </w:r>
          </w:p>
        </w:tc>
        <w:tc>
          <w:tcPr>
            <w:tcW w:w="1167"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r>
      <w:tr>
        <w:tblPrEx>
          <w:tblLayout w:type="fixed"/>
          <w:tblCellMar>
            <w:top w:w="0" w:type="dxa"/>
            <w:left w:w="108" w:type="dxa"/>
            <w:bottom w:w="0" w:type="dxa"/>
            <w:right w:w="108" w:type="dxa"/>
          </w:tblCellMar>
        </w:tblPrEx>
        <w:trPr>
          <w:trHeight w:val="285" w:hRule="atLeast"/>
        </w:trPr>
        <w:tc>
          <w:tcPr>
            <w:tcW w:w="1836" w:type="dxa"/>
            <w:tcBorders>
              <w:top w:val="nil"/>
              <w:left w:val="single" w:color="F4B083" w:sz="8" w:space="0"/>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财政学</w:t>
            </w:r>
          </w:p>
        </w:tc>
        <w:tc>
          <w:tcPr>
            <w:tcW w:w="1167"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36.36</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36.36</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18.18</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9.09</w:t>
            </w:r>
          </w:p>
        </w:tc>
        <w:tc>
          <w:tcPr>
            <w:tcW w:w="1167"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r>
      <w:tr>
        <w:tblPrEx>
          <w:tblLayout w:type="fixed"/>
          <w:tblCellMar>
            <w:top w:w="0" w:type="dxa"/>
            <w:left w:w="108" w:type="dxa"/>
            <w:bottom w:w="0" w:type="dxa"/>
            <w:right w:w="108" w:type="dxa"/>
          </w:tblCellMar>
        </w:tblPrEx>
        <w:trPr>
          <w:trHeight w:val="285" w:hRule="atLeast"/>
        </w:trPr>
        <w:tc>
          <w:tcPr>
            <w:tcW w:w="1836" w:type="dxa"/>
            <w:tcBorders>
              <w:top w:val="nil"/>
              <w:left w:val="single" w:color="F4B083" w:sz="8" w:space="0"/>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行政管理</w:t>
            </w:r>
          </w:p>
        </w:tc>
        <w:tc>
          <w:tcPr>
            <w:tcW w:w="1167"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3.18</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24.09</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36.36</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18.18</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18.18</w:t>
            </w:r>
          </w:p>
        </w:tc>
        <w:tc>
          <w:tcPr>
            <w:tcW w:w="1167"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r>
      <w:tr>
        <w:tblPrEx>
          <w:tblLayout w:type="fixed"/>
          <w:tblCellMar>
            <w:top w:w="0" w:type="dxa"/>
            <w:left w:w="108" w:type="dxa"/>
            <w:bottom w:w="0" w:type="dxa"/>
            <w:right w:w="108" w:type="dxa"/>
          </w:tblCellMar>
        </w:tblPrEx>
        <w:trPr>
          <w:trHeight w:val="285" w:hRule="atLeast"/>
        </w:trPr>
        <w:tc>
          <w:tcPr>
            <w:tcW w:w="1836" w:type="dxa"/>
            <w:tcBorders>
              <w:top w:val="nil"/>
              <w:left w:val="single" w:color="F4B083" w:sz="8" w:space="0"/>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旅游管理</w:t>
            </w:r>
          </w:p>
        </w:tc>
        <w:tc>
          <w:tcPr>
            <w:tcW w:w="1167"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36.36</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36.36</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18.18</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9.09</w:t>
            </w:r>
          </w:p>
        </w:tc>
        <w:tc>
          <w:tcPr>
            <w:tcW w:w="1167"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r>
      <w:tr>
        <w:tblPrEx>
          <w:tblLayout w:type="fixed"/>
          <w:tblCellMar>
            <w:top w:w="0" w:type="dxa"/>
            <w:left w:w="108" w:type="dxa"/>
            <w:bottom w:w="0" w:type="dxa"/>
            <w:right w:w="108" w:type="dxa"/>
          </w:tblCellMar>
        </w:tblPrEx>
        <w:trPr>
          <w:trHeight w:val="285" w:hRule="atLeast"/>
        </w:trPr>
        <w:tc>
          <w:tcPr>
            <w:tcW w:w="1836" w:type="dxa"/>
            <w:tcBorders>
              <w:top w:val="nil"/>
              <w:left w:val="single" w:color="F4B083" w:sz="8" w:space="0"/>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审计学</w:t>
            </w:r>
          </w:p>
        </w:tc>
        <w:tc>
          <w:tcPr>
            <w:tcW w:w="1167"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22.22</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55.56</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22.22</w:t>
            </w:r>
          </w:p>
        </w:tc>
        <w:tc>
          <w:tcPr>
            <w:tcW w:w="1167"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r>
      <w:tr>
        <w:tblPrEx>
          <w:tblLayout w:type="fixed"/>
          <w:tblCellMar>
            <w:top w:w="0" w:type="dxa"/>
            <w:left w:w="108" w:type="dxa"/>
            <w:bottom w:w="0" w:type="dxa"/>
            <w:right w:w="108" w:type="dxa"/>
          </w:tblCellMar>
        </w:tblPrEx>
        <w:trPr>
          <w:trHeight w:val="285" w:hRule="atLeast"/>
        </w:trPr>
        <w:tc>
          <w:tcPr>
            <w:tcW w:w="1836" w:type="dxa"/>
            <w:tcBorders>
              <w:top w:val="nil"/>
              <w:left w:val="single" w:color="F4B083" w:sz="8" w:space="0"/>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数学与应用数学</w:t>
            </w:r>
          </w:p>
        </w:tc>
        <w:tc>
          <w:tcPr>
            <w:tcW w:w="1167"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1.02</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24.44</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53.44</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10.05</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9.09</w:t>
            </w:r>
          </w:p>
        </w:tc>
        <w:tc>
          <w:tcPr>
            <w:tcW w:w="1167"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1.95</w:t>
            </w:r>
          </w:p>
        </w:tc>
      </w:tr>
      <w:tr>
        <w:tblPrEx>
          <w:tblLayout w:type="fixed"/>
          <w:tblCellMar>
            <w:top w:w="0" w:type="dxa"/>
            <w:left w:w="108" w:type="dxa"/>
            <w:bottom w:w="0" w:type="dxa"/>
            <w:right w:w="108" w:type="dxa"/>
          </w:tblCellMar>
        </w:tblPrEx>
        <w:trPr>
          <w:trHeight w:val="285" w:hRule="atLeast"/>
        </w:trPr>
        <w:tc>
          <w:tcPr>
            <w:tcW w:w="1836" w:type="dxa"/>
            <w:tcBorders>
              <w:top w:val="nil"/>
              <w:left w:val="single" w:color="F4B083" w:sz="8" w:space="0"/>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艺术设计</w:t>
            </w:r>
          </w:p>
        </w:tc>
        <w:tc>
          <w:tcPr>
            <w:tcW w:w="1167"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44.44</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33.33</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11.11</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11.11</w:t>
            </w:r>
          </w:p>
        </w:tc>
        <w:tc>
          <w:tcPr>
            <w:tcW w:w="1167"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r>
      <w:tr>
        <w:tblPrEx>
          <w:tblLayout w:type="fixed"/>
          <w:tblCellMar>
            <w:top w:w="0" w:type="dxa"/>
            <w:left w:w="108" w:type="dxa"/>
            <w:bottom w:w="0" w:type="dxa"/>
            <w:right w:w="108" w:type="dxa"/>
          </w:tblCellMar>
        </w:tblPrEx>
        <w:trPr>
          <w:trHeight w:val="285" w:hRule="atLeast"/>
        </w:trPr>
        <w:tc>
          <w:tcPr>
            <w:tcW w:w="1836" w:type="dxa"/>
            <w:tcBorders>
              <w:top w:val="nil"/>
              <w:left w:val="single" w:color="F4B083" w:sz="8" w:space="0"/>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社会工作</w:t>
            </w:r>
          </w:p>
        </w:tc>
        <w:tc>
          <w:tcPr>
            <w:tcW w:w="1167"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5.50</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32.00</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25.00</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25.00</w:t>
            </w:r>
          </w:p>
        </w:tc>
        <w:tc>
          <w:tcPr>
            <w:tcW w:w="1259"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12.50</w:t>
            </w:r>
          </w:p>
        </w:tc>
        <w:tc>
          <w:tcPr>
            <w:tcW w:w="1167" w:type="dxa"/>
            <w:tcBorders>
              <w:top w:val="nil"/>
              <w:left w:val="nil"/>
              <w:bottom w:val="single" w:color="F4B083" w:sz="8" w:space="0"/>
              <w:right w:val="single" w:color="F4B083" w:sz="8"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r>
      <w:tr>
        <w:tblPrEx>
          <w:tblLayout w:type="fixed"/>
          <w:tblCellMar>
            <w:top w:w="0" w:type="dxa"/>
            <w:left w:w="108" w:type="dxa"/>
            <w:bottom w:w="0" w:type="dxa"/>
            <w:right w:w="108" w:type="dxa"/>
          </w:tblCellMar>
        </w:tblPrEx>
        <w:trPr>
          <w:trHeight w:val="285" w:hRule="atLeast"/>
        </w:trPr>
        <w:tc>
          <w:tcPr>
            <w:tcW w:w="1836" w:type="dxa"/>
            <w:tcBorders>
              <w:top w:val="nil"/>
              <w:left w:val="single" w:color="F4B083" w:sz="8" w:space="0"/>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广告学</w:t>
            </w:r>
          </w:p>
        </w:tc>
        <w:tc>
          <w:tcPr>
            <w:tcW w:w="1167"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2.67</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14.67</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49.33</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31.80</w:t>
            </w:r>
          </w:p>
        </w:tc>
        <w:tc>
          <w:tcPr>
            <w:tcW w:w="1259"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167" w:type="dxa"/>
            <w:tcBorders>
              <w:top w:val="nil"/>
              <w:left w:val="nil"/>
              <w:bottom w:val="single" w:color="F4B083" w:sz="8" w:space="0"/>
              <w:right w:val="single" w:color="F4B083" w:sz="8" w:space="0"/>
            </w:tcBorders>
            <w:shd w:val="clear" w:color="000000" w:fill="FBE4D5"/>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1.53</w:t>
            </w:r>
          </w:p>
        </w:tc>
      </w:tr>
    </w:tbl>
    <w:p/>
    <w:p>
      <w:pPr>
        <w:rPr>
          <w:sz w:val="18"/>
          <w:szCs w:val="18"/>
        </w:rPr>
      </w:pPr>
      <w:r>
        <w:rPr>
          <w:rFonts w:hint="eastAsia"/>
          <w:sz w:val="18"/>
          <w:szCs w:val="18"/>
        </w:rPr>
        <w:t>备注</w:t>
      </w:r>
      <w:r>
        <w:rPr>
          <w:sz w:val="18"/>
          <w:szCs w:val="18"/>
        </w:rPr>
        <w:t>：</w:t>
      </w:r>
      <w:r>
        <w:rPr>
          <w:rFonts w:hint="eastAsia"/>
          <w:sz w:val="18"/>
          <w:szCs w:val="18"/>
        </w:rPr>
        <w:t>表中</w:t>
      </w:r>
      <w:r>
        <w:rPr>
          <w:sz w:val="18"/>
          <w:szCs w:val="18"/>
        </w:rPr>
        <w:t>数字均表示百分比。</w:t>
      </w:r>
    </w:p>
    <w:p>
      <w:pPr>
        <w:pStyle w:val="37"/>
        <w:rPr>
          <w:sz w:val="18"/>
          <w:szCs w:val="18"/>
        </w:rPr>
      </w:pPr>
      <w:bookmarkStart w:id="111" w:name="_Toc469038345"/>
      <w:r>
        <w:rPr>
          <w:rFonts w:hint="eastAsia"/>
        </w:rPr>
        <w:t>（2）专科生</w:t>
      </w:r>
      <w:bookmarkEnd w:id="111"/>
    </w:p>
    <w:p>
      <w:pPr>
        <w:pStyle w:val="40"/>
      </w:pPr>
      <w:r>
        <w:rPr>
          <w:rFonts w:hint="eastAsia"/>
        </w:rPr>
        <w:t>调研数据</w:t>
      </w:r>
      <w:r>
        <w:t>显示，</w:t>
      </w:r>
      <w:r>
        <w:rPr>
          <w:rFonts w:hint="eastAsia"/>
        </w:rPr>
        <w:t>会计</w:t>
      </w:r>
      <w:r>
        <w:t>专业65.31%</w:t>
      </w:r>
      <w:r>
        <w:rPr>
          <w:rFonts w:hint="eastAsia"/>
        </w:rPr>
        <w:t>的</w:t>
      </w:r>
      <w:r>
        <w:t>毕业生薪资集中在</w:t>
      </w:r>
      <w:r>
        <w:rPr>
          <w:rFonts w:hint="eastAsia"/>
        </w:rPr>
        <w:t>2001</w:t>
      </w:r>
      <w:r>
        <w:t>-300</w:t>
      </w:r>
      <w:r>
        <w:rPr>
          <w:rFonts w:hint="eastAsia"/>
        </w:rPr>
        <w:t>0元</w:t>
      </w:r>
      <w:r>
        <w:t>，</w:t>
      </w:r>
      <w:r>
        <w:rPr>
          <w:rFonts w:hint="eastAsia"/>
        </w:rPr>
        <w:t>会计</w:t>
      </w:r>
      <w:r>
        <w:t>专业</w:t>
      </w:r>
      <w:r>
        <w:rPr>
          <w:rFonts w:hint="eastAsia"/>
        </w:rPr>
        <w:t>还有20.4</w:t>
      </w:r>
      <w:r>
        <w:t>1</w:t>
      </w:r>
      <w:r>
        <w:rPr>
          <w:rFonts w:hint="eastAsia"/>
        </w:rPr>
        <w:t>%</w:t>
      </w:r>
      <w:r>
        <w:t>的毕业生</w:t>
      </w:r>
      <w:r>
        <w:rPr>
          <w:rFonts w:hint="eastAsia"/>
        </w:rPr>
        <w:t>薪资</w:t>
      </w:r>
      <w:r>
        <w:t>在</w:t>
      </w:r>
      <w:r>
        <w:rPr>
          <w:rFonts w:hint="eastAsia"/>
        </w:rPr>
        <w:t>3001</w:t>
      </w:r>
      <w:r>
        <w:t>-4000</w:t>
      </w:r>
      <w:r>
        <w:rPr>
          <w:rFonts w:hint="eastAsia"/>
        </w:rPr>
        <w:t>元</w:t>
      </w:r>
      <w:r>
        <w:t>之间；</w:t>
      </w:r>
      <w:r>
        <w:rPr>
          <w:rFonts w:hint="eastAsia"/>
        </w:rPr>
        <w:t>市场营销</w:t>
      </w:r>
      <w:r>
        <w:t>专业</w:t>
      </w:r>
      <w:r>
        <w:rPr>
          <w:rFonts w:hint="eastAsia"/>
        </w:rPr>
        <w:t>有</w:t>
      </w:r>
      <w:r>
        <w:t>44.44%</w:t>
      </w:r>
      <w:r>
        <w:rPr>
          <w:rFonts w:hint="eastAsia"/>
        </w:rPr>
        <w:t>的</w:t>
      </w:r>
      <w:r>
        <w:t>毕业生薪资集中在</w:t>
      </w:r>
      <w:r>
        <w:rPr>
          <w:rFonts w:hint="eastAsia"/>
        </w:rPr>
        <w:t>2001</w:t>
      </w:r>
      <w:r>
        <w:t>-3000</w:t>
      </w:r>
      <w:r>
        <w:rPr>
          <w:rFonts w:hint="eastAsia"/>
        </w:rPr>
        <w:t>元</w:t>
      </w:r>
      <w:r>
        <w:t>之间</w:t>
      </w:r>
      <w:r>
        <w:rPr>
          <w:rFonts w:hint="eastAsia"/>
        </w:rPr>
        <w:t>，</w:t>
      </w:r>
      <w:r>
        <w:t>相比会计专业占比较低</w:t>
      </w:r>
      <w:r>
        <w:rPr>
          <w:rFonts w:hint="eastAsia"/>
        </w:rPr>
        <w:t>。会计</w:t>
      </w:r>
      <w:r>
        <w:t>专业</w:t>
      </w:r>
      <w:r>
        <w:rPr>
          <w:rFonts w:hint="eastAsia"/>
        </w:rPr>
        <w:t>毕业生</w:t>
      </w:r>
      <w:r>
        <w:t>薪资</w:t>
      </w:r>
      <w:r>
        <w:rPr>
          <w:rFonts w:hint="eastAsia"/>
        </w:rPr>
        <w:t>在4001</w:t>
      </w:r>
      <w:r>
        <w:t>-8000</w:t>
      </w:r>
      <w:r>
        <w:rPr>
          <w:rFonts w:hint="eastAsia"/>
        </w:rPr>
        <w:t>元</w:t>
      </w:r>
      <w:r>
        <w:t>这个区间</w:t>
      </w:r>
      <w:r>
        <w:rPr>
          <w:rFonts w:hint="eastAsia"/>
        </w:rPr>
        <w:t>的占</w:t>
      </w:r>
      <w:r>
        <w:t>12.24%，</w:t>
      </w:r>
      <w:r>
        <w:rPr>
          <w:rFonts w:hint="eastAsia"/>
        </w:rPr>
        <w:t>而</w:t>
      </w:r>
      <w:r>
        <w:t>市场营销专业毕业生的薪资在这个区间段</w:t>
      </w:r>
      <w:r>
        <w:rPr>
          <w:rFonts w:hint="eastAsia"/>
        </w:rPr>
        <w:t>的</w:t>
      </w:r>
      <w:r>
        <w:t>占比为</w:t>
      </w:r>
      <w:r>
        <w:rPr>
          <w:rFonts w:hint="eastAsia"/>
        </w:rPr>
        <w:t>22.22</w:t>
      </w:r>
      <w:r>
        <w:t>%</w:t>
      </w:r>
      <w:r>
        <w:rPr>
          <w:rFonts w:hint="eastAsia"/>
        </w:rPr>
        <w:t>；</w:t>
      </w:r>
      <w:r>
        <w:t>会计专业没有毕业生的薪资在</w:t>
      </w:r>
      <w:r>
        <w:rPr>
          <w:rFonts w:hint="eastAsia"/>
        </w:rPr>
        <w:t>8000元</w:t>
      </w:r>
      <w:r>
        <w:t>以上，而市场营销专业有</w:t>
      </w:r>
      <w:r>
        <w:rPr>
          <w:rFonts w:hint="eastAsia"/>
        </w:rPr>
        <w:t>11.11</w:t>
      </w:r>
      <w:r>
        <w:t>%的毕业生薪资在这个区间段。详见表</w:t>
      </w:r>
      <w:r>
        <w:rPr>
          <w:rFonts w:hint="eastAsia"/>
        </w:rPr>
        <w:t>3</w:t>
      </w:r>
      <w:r>
        <w:t>-2</w:t>
      </w:r>
      <w:r>
        <w:rPr>
          <w:rFonts w:hint="eastAsia"/>
        </w:rPr>
        <w:t>。</w:t>
      </w:r>
    </w:p>
    <w:p>
      <w:pPr>
        <w:pStyle w:val="8"/>
        <w:jc w:val="center"/>
        <w:rPr>
          <w:rFonts w:asciiTheme="minorEastAsia" w:hAnsiTheme="minorEastAsia" w:eastAsiaTheme="minorEastAsia"/>
          <w:sz w:val="18"/>
          <w:szCs w:val="18"/>
        </w:rPr>
      </w:pPr>
      <w:bookmarkStart w:id="112" w:name="_Toc470886979"/>
      <w:r>
        <w:rPr>
          <w:rFonts w:hint="eastAsia" w:asciiTheme="minorEastAsia" w:hAnsiTheme="minorEastAsia" w:eastAsiaTheme="minorEastAsia"/>
          <w:sz w:val="18"/>
          <w:szCs w:val="18"/>
        </w:rPr>
        <w:t>表3-</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表3-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2</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专科生不同专业</w:t>
      </w:r>
      <w:r>
        <w:rPr>
          <w:rFonts w:asciiTheme="minorEastAsia" w:hAnsiTheme="minorEastAsia" w:eastAsiaTheme="minorEastAsia"/>
          <w:sz w:val="18"/>
          <w:szCs w:val="18"/>
        </w:rPr>
        <w:t>薪资水平</w:t>
      </w:r>
      <w:bookmarkEnd w:id="112"/>
    </w:p>
    <w:tbl>
      <w:tblPr>
        <w:tblStyle w:val="50"/>
        <w:tblW w:w="8296" w:type="dxa"/>
        <w:tblInd w:w="0" w:type="dxa"/>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
      <w:tblGrid>
        <w:gridCol w:w="3083"/>
        <w:gridCol w:w="2608"/>
        <w:gridCol w:w="2605"/>
      </w:tblGrid>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083" w:type="dxa"/>
            <w:tcBorders>
              <w:top w:val="single" w:color="ED7D31" w:themeColor="accent2" w:sz="4" w:space="0"/>
              <w:left w:val="single" w:color="ED7D31" w:themeColor="accent2" w:sz="4" w:space="0"/>
              <w:bottom w:val="single" w:color="ED7D31" w:themeColor="accent2" w:sz="4" w:space="0"/>
              <w:right w:val="nil"/>
              <w:insideH w:val="single" w:sz="4" w:space="0"/>
              <w:insideV w:val="nil"/>
            </w:tcBorders>
            <w:shd w:val="clear" w:color="auto" w:fill="ED7D31" w:themeFill="accent2"/>
          </w:tcPr>
          <w:p>
            <w:pPr>
              <w:widowControl/>
              <w:jc w:val="center"/>
              <w:rPr>
                <w:rFonts w:ascii="宋体" w:hAnsi="宋体" w:eastAsia="宋体" w:cs="宋体"/>
                <w:b/>
                <w:bCs/>
                <w:color w:val="FFFFFF" w:themeColor="background1"/>
                <w:kern w:val="0"/>
                <w:sz w:val="18"/>
                <w:szCs w:val="18"/>
                <w14:textFill>
                  <w14:solidFill>
                    <w14:schemeClr w14:val="bg1"/>
                  </w14:solidFill>
                </w14:textFill>
              </w:rPr>
            </w:pPr>
            <w:r>
              <w:rPr>
                <w:rFonts w:hint="eastAsia" w:ascii="宋体" w:hAnsi="宋体" w:eastAsia="宋体" w:cs="宋体"/>
                <w:b/>
                <w:bCs/>
                <w:color w:val="FFFFFF" w:themeColor="background1"/>
                <w:kern w:val="0"/>
                <w:sz w:val="18"/>
                <w:szCs w:val="18"/>
                <w14:textFill>
                  <w14:solidFill>
                    <w14:schemeClr w14:val="bg1"/>
                  </w14:solidFill>
                </w14:textFill>
              </w:rPr>
              <w:t>薪资区间</w:t>
            </w:r>
          </w:p>
        </w:tc>
        <w:tc>
          <w:tcPr>
            <w:tcW w:w="2608" w:type="dxa"/>
            <w:tcBorders>
              <w:top w:val="single" w:color="ED7D31" w:themeColor="accent2" w:sz="4" w:space="0"/>
              <w:bottom w:val="single" w:color="ED7D31" w:themeColor="accent2" w:sz="4" w:space="0"/>
              <w:right w:val="nil"/>
              <w:insideH w:val="single" w:sz="4" w:space="0"/>
              <w:insideV w:val="nil"/>
            </w:tcBorders>
            <w:shd w:val="clear" w:color="auto" w:fill="ED7D31" w:themeFill="accent2"/>
          </w:tcPr>
          <w:p>
            <w:pPr>
              <w:widowControl/>
              <w:jc w:val="center"/>
              <w:rPr>
                <w:rFonts w:ascii="宋体" w:hAnsi="宋体" w:eastAsia="宋体" w:cs="宋体"/>
                <w:b/>
                <w:bCs/>
                <w:color w:val="FFFFFF" w:themeColor="background1"/>
                <w:kern w:val="0"/>
                <w:sz w:val="18"/>
                <w:szCs w:val="18"/>
                <w14:textFill>
                  <w14:solidFill>
                    <w14:schemeClr w14:val="bg1"/>
                  </w14:solidFill>
                </w14:textFill>
              </w:rPr>
            </w:pPr>
            <w:r>
              <w:rPr>
                <w:rFonts w:hint="eastAsia" w:ascii="宋体" w:hAnsi="宋体" w:eastAsia="宋体" w:cs="宋体"/>
                <w:b/>
                <w:bCs/>
                <w:color w:val="FFFFFF" w:themeColor="background1"/>
                <w:kern w:val="0"/>
                <w:sz w:val="18"/>
                <w:szCs w:val="18"/>
                <w14:textFill>
                  <w14:solidFill>
                    <w14:schemeClr w14:val="bg1"/>
                  </w14:solidFill>
                </w14:textFill>
              </w:rPr>
              <w:t>会计（%</w:t>
            </w:r>
            <w:r>
              <w:rPr>
                <w:rFonts w:ascii="宋体" w:hAnsi="宋体" w:eastAsia="宋体" w:cs="宋体"/>
                <w:b/>
                <w:bCs/>
                <w:color w:val="FFFFFF" w:themeColor="background1"/>
                <w:kern w:val="0"/>
                <w:sz w:val="18"/>
                <w:szCs w:val="18"/>
                <w14:textFill>
                  <w14:solidFill>
                    <w14:schemeClr w14:val="bg1"/>
                  </w14:solidFill>
                </w14:textFill>
              </w:rPr>
              <w:t>）</w:t>
            </w:r>
          </w:p>
        </w:tc>
        <w:tc>
          <w:tcPr>
            <w:tcW w:w="2605" w:type="dxa"/>
            <w:tcBorders>
              <w:top w:val="single" w:color="ED7D31" w:themeColor="accent2" w:sz="4" w:space="0"/>
              <w:bottom w:val="single" w:color="ED7D31" w:themeColor="accent2" w:sz="4" w:space="0"/>
              <w:right w:val="single" w:color="ED7D31" w:themeColor="accent2" w:sz="4" w:space="0"/>
              <w:insideH w:val="single" w:sz="4" w:space="0"/>
              <w:insideV w:val="nil"/>
            </w:tcBorders>
            <w:shd w:val="clear" w:color="auto" w:fill="ED7D31" w:themeFill="accent2"/>
          </w:tcPr>
          <w:p>
            <w:pPr>
              <w:widowControl/>
              <w:jc w:val="center"/>
              <w:rPr>
                <w:rFonts w:ascii="宋体" w:hAnsi="宋体" w:eastAsia="宋体" w:cs="宋体"/>
                <w:b/>
                <w:bCs/>
                <w:color w:val="FFFFFF" w:themeColor="background1"/>
                <w:kern w:val="0"/>
                <w:sz w:val="18"/>
                <w:szCs w:val="18"/>
                <w14:textFill>
                  <w14:solidFill>
                    <w14:schemeClr w14:val="bg1"/>
                  </w14:solidFill>
                </w14:textFill>
              </w:rPr>
            </w:pPr>
            <w:r>
              <w:rPr>
                <w:rFonts w:hint="eastAsia" w:ascii="宋体" w:hAnsi="宋体" w:eastAsia="宋体" w:cs="宋体"/>
                <w:b/>
                <w:bCs/>
                <w:color w:val="FFFFFF" w:themeColor="background1"/>
                <w:kern w:val="0"/>
                <w:sz w:val="18"/>
                <w:szCs w:val="18"/>
                <w14:textFill>
                  <w14:solidFill>
                    <w14:schemeClr w14:val="bg1"/>
                  </w14:solidFill>
                </w14:textFill>
              </w:rPr>
              <w:t>市场营销（%</w:t>
            </w:r>
            <w:r>
              <w:rPr>
                <w:rFonts w:ascii="宋体" w:hAnsi="宋体" w:eastAsia="宋体" w:cs="宋体"/>
                <w:b/>
                <w:bCs/>
                <w:color w:val="FFFFFF" w:themeColor="background1"/>
                <w:kern w:val="0"/>
                <w:sz w:val="18"/>
                <w:szCs w:val="18"/>
                <w14:textFill>
                  <w14:solidFill>
                    <w14:schemeClr w14:val="bg1"/>
                  </w14:solidFill>
                </w14:textFill>
              </w:rPr>
              <w:t>）</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083" w:type="dxa"/>
            <w:shd w:val="clear" w:color="auto" w:fill="FBE4D5" w:themeFill="accent2" w:themeFillTint="33"/>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2000元以下</w:t>
            </w:r>
          </w:p>
        </w:tc>
        <w:tc>
          <w:tcPr>
            <w:tcW w:w="2608"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2.04</w:t>
            </w:r>
          </w:p>
        </w:tc>
        <w:tc>
          <w:tcPr>
            <w:tcW w:w="2605"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083" w:type="dxa"/>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2001-3000元</w:t>
            </w:r>
          </w:p>
        </w:tc>
        <w:tc>
          <w:tcPr>
            <w:tcW w:w="2608"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65.31</w:t>
            </w:r>
          </w:p>
        </w:tc>
        <w:tc>
          <w:tcPr>
            <w:tcW w:w="2605"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44.44</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083" w:type="dxa"/>
            <w:shd w:val="clear" w:color="auto" w:fill="FBE4D5" w:themeFill="accent2" w:themeFillTint="33"/>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3001-4000元</w:t>
            </w:r>
          </w:p>
        </w:tc>
        <w:tc>
          <w:tcPr>
            <w:tcW w:w="2608"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20.41</w:t>
            </w:r>
          </w:p>
        </w:tc>
        <w:tc>
          <w:tcPr>
            <w:tcW w:w="2605"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22.22</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083" w:type="dxa"/>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4001-5000元</w:t>
            </w:r>
          </w:p>
        </w:tc>
        <w:tc>
          <w:tcPr>
            <w:tcW w:w="2608"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6.12</w:t>
            </w:r>
          </w:p>
        </w:tc>
        <w:tc>
          <w:tcPr>
            <w:tcW w:w="2605"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083" w:type="dxa"/>
            <w:shd w:val="clear" w:color="auto" w:fill="FBE4D5" w:themeFill="accent2" w:themeFillTint="33"/>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5001-6000元</w:t>
            </w:r>
          </w:p>
        </w:tc>
        <w:tc>
          <w:tcPr>
            <w:tcW w:w="2608"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2.04</w:t>
            </w:r>
          </w:p>
        </w:tc>
        <w:tc>
          <w:tcPr>
            <w:tcW w:w="2605"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11.11</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083" w:type="dxa"/>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6001-8000元</w:t>
            </w:r>
          </w:p>
        </w:tc>
        <w:tc>
          <w:tcPr>
            <w:tcW w:w="2608"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4.08</w:t>
            </w:r>
          </w:p>
        </w:tc>
        <w:tc>
          <w:tcPr>
            <w:tcW w:w="2605"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11.11</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3083" w:type="dxa"/>
            <w:shd w:val="clear" w:color="auto" w:fill="FBE4D5" w:themeFill="accent2" w:themeFillTint="33"/>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8000元以上</w:t>
            </w:r>
          </w:p>
        </w:tc>
        <w:tc>
          <w:tcPr>
            <w:tcW w:w="2608"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2605"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11.11</w:t>
            </w:r>
          </w:p>
        </w:tc>
      </w:tr>
    </w:tbl>
    <w:p>
      <w:pPr>
        <w:rPr>
          <w:b/>
          <w:sz w:val="24"/>
          <w:szCs w:val="24"/>
        </w:rPr>
      </w:pPr>
    </w:p>
    <w:p>
      <w:pPr>
        <w:pStyle w:val="33"/>
      </w:pPr>
      <w:bookmarkStart w:id="113" w:name="_Toc469038346"/>
      <w:r>
        <w:rPr>
          <w:rFonts w:hint="eastAsia"/>
        </w:rPr>
        <w:t>3.薪资</w:t>
      </w:r>
      <w:r>
        <w:t>满意度</w:t>
      </w:r>
      <w:bookmarkEnd w:id="113"/>
    </w:p>
    <w:p>
      <w:pPr>
        <w:pStyle w:val="40"/>
      </w:pPr>
      <w:r>
        <w:rPr>
          <w:rFonts w:hint="eastAsia"/>
        </w:rPr>
        <w:t>就</w:t>
      </w:r>
      <w:r>
        <w:t>毕业生对目前薪资</w:t>
      </w:r>
      <w:r>
        <w:rPr>
          <w:rFonts w:hint="eastAsia"/>
        </w:rPr>
        <w:t>满意度</w:t>
      </w:r>
      <w:r>
        <w:t>情况进行调研，</w:t>
      </w:r>
      <w:r>
        <w:rPr>
          <w:rFonts w:hint="eastAsia"/>
        </w:rPr>
        <w:t>数据</w:t>
      </w:r>
      <w:r>
        <w:t>显示，</w:t>
      </w:r>
      <w:r>
        <w:rPr>
          <w:rFonts w:hint="eastAsia"/>
        </w:rPr>
        <w:t>76.92</w:t>
      </w:r>
      <w:r>
        <w:t>%的毕业对目前薪资表示</w:t>
      </w:r>
      <w:r>
        <w:rPr>
          <w:rFonts w:hint="eastAsia"/>
        </w:rPr>
        <w:t>“满意”，</w:t>
      </w:r>
      <w:r>
        <w:t>包括非常满意、满意和比较满意，</w:t>
      </w:r>
      <w:r>
        <w:rPr>
          <w:rFonts w:hint="eastAsia"/>
        </w:rPr>
        <w:t>仍有</w:t>
      </w:r>
      <w:r>
        <w:t>21.89%</w:t>
      </w:r>
      <w:r>
        <w:rPr>
          <w:rFonts w:hint="eastAsia"/>
        </w:rPr>
        <w:t>和1.19</w:t>
      </w:r>
      <w:r>
        <w:t>%的毕业</w:t>
      </w:r>
      <w:r>
        <w:rPr>
          <w:rFonts w:hint="eastAsia"/>
        </w:rPr>
        <w:t>生</w:t>
      </w:r>
      <w:r>
        <w:t>对目前薪资</w:t>
      </w:r>
      <w:r>
        <w:rPr>
          <w:rFonts w:hint="eastAsia"/>
        </w:rPr>
        <w:t>表示“</w:t>
      </w:r>
      <w:r>
        <w:t>不太满意</w:t>
      </w:r>
      <w:r>
        <w:rPr>
          <w:rFonts w:hint="eastAsia"/>
        </w:rPr>
        <w:t>”</w:t>
      </w:r>
      <w:r>
        <w:t>和</w:t>
      </w:r>
      <w:r>
        <w:rPr>
          <w:rFonts w:hint="eastAsia"/>
        </w:rPr>
        <w:t>“</w:t>
      </w:r>
      <w:r>
        <w:t>很不满意</w:t>
      </w:r>
      <w:r>
        <w:rPr>
          <w:rFonts w:hint="eastAsia"/>
        </w:rPr>
        <w:t>”</w:t>
      </w:r>
      <w:r>
        <w:t>。详见</w:t>
      </w:r>
      <w:r>
        <w:rPr>
          <w:rFonts w:hint="eastAsia"/>
        </w:rPr>
        <w:t>图3</w:t>
      </w:r>
      <w:r>
        <w:t>-7。</w:t>
      </w:r>
    </w:p>
    <w:p>
      <w:pPr>
        <w:jc w:val="center"/>
      </w:pPr>
      <w:r>
        <w:drawing>
          <wp:inline distT="0" distB="0" distL="0" distR="0">
            <wp:extent cx="4572000" cy="2743200"/>
            <wp:effectExtent l="0" t="0" r="0" b="0"/>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pStyle w:val="8"/>
        <w:jc w:val="center"/>
        <w:rPr>
          <w:rFonts w:asciiTheme="minorEastAsia" w:hAnsiTheme="minorEastAsia" w:eastAsiaTheme="minorEastAsia"/>
          <w:sz w:val="18"/>
          <w:szCs w:val="18"/>
        </w:rPr>
      </w:pPr>
      <w:bookmarkStart w:id="114" w:name="_Toc470887025"/>
      <w:r>
        <w:rPr>
          <w:rFonts w:hint="eastAsia" w:asciiTheme="minorEastAsia" w:hAnsiTheme="minorEastAsia" w:eastAsiaTheme="minorEastAsia"/>
          <w:sz w:val="18"/>
          <w:szCs w:val="18"/>
        </w:rPr>
        <w:t>图3-</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图3-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7</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已落实</w:t>
      </w:r>
      <w:r>
        <w:rPr>
          <w:rFonts w:asciiTheme="minorEastAsia" w:hAnsiTheme="minorEastAsia" w:eastAsiaTheme="minorEastAsia"/>
          <w:sz w:val="18"/>
          <w:szCs w:val="18"/>
        </w:rPr>
        <w:t>就业单位毕业生薪资满意度</w:t>
      </w:r>
      <w:bookmarkEnd w:id="114"/>
    </w:p>
    <w:p>
      <w:pPr>
        <w:pStyle w:val="30"/>
      </w:pPr>
      <w:bookmarkStart w:id="115" w:name="_Toc471310936"/>
      <w:bookmarkStart w:id="116" w:name="_Toc469038347"/>
      <w:r>
        <w:rPr>
          <w:rFonts w:hint="eastAsia"/>
        </w:rPr>
        <w:t>（三）福利保障</w:t>
      </w:r>
      <w:bookmarkEnd w:id="115"/>
      <w:bookmarkEnd w:id="116"/>
    </w:p>
    <w:p>
      <w:pPr>
        <w:pStyle w:val="33"/>
      </w:pPr>
      <w:bookmarkStart w:id="117" w:name="_Toc469038348"/>
      <w:r>
        <w:t>1.</w:t>
      </w:r>
      <w:r>
        <w:rPr>
          <w:rFonts w:hint="eastAsia"/>
        </w:rPr>
        <w:t>福利保障</w:t>
      </w:r>
      <w:bookmarkEnd w:id="117"/>
    </w:p>
    <w:p>
      <w:pPr>
        <w:pStyle w:val="40"/>
      </w:pPr>
      <w:r>
        <w:rPr>
          <w:rFonts w:hint="eastAsia"/>
        </w:rPr>
        <w:t>根据</w:t>
      </w:r>
      <w:r>
        <w:t>调研数据</w:t>
      </w:r>
      <w:r>
        <w:rPr>
          <w:rFonts w:hint="eastAsia"/>
        </w:rPr>
        <w:t>，93.86</w:t>
      </w:r>
      <w:r>
        <w:t>%的毕业生</w:t>
      </w:r>
      <w:r>
        <w:rPr>
          <w:rFonts w:hint="eastAsia"/>
        </w:rPr>
        <w:t>在就业时</w:t>
      </w:r>
      <w:r>
        <w:t>，</w:t>
      </w:r>
      <w:r>
        <w:rPr>
          <w:rFonts w:hint="eastAsia"/>
        </w:rPr>
        <w:t>用人</w:t>
      </w:r>
      <w:r>
        <w:t>单位为其提供了相关福利保障，</w:t>
      </w:r>
      <w:r>
        <w:rPr>
          <w:rFonts w:hint="eastAsia"/>
        </w:rPr>
        <w:t>其中26.74</w:t>
      </w:r>
      <w:r>
        <w:t>%</w:t>
      </w:r>
      <w:r>
        <w:rPr>
          <w:rFonts w:hint="eastAsia"/>
        </w:rPr>
        <w:t>的</w:t>
      </w:r>
      <w:r>
        <w:t>毕业生</w:t>
      </w:r>
      <w:r>
        <w:rPr>
          <w:rFonts w:hint="eastAsia"/>
        </w:rPr>
        <w:t>在</w:t>
      </w:r>
      <w:r>
        <w:t>就业时用人单位为其提供了</w:t>
      </w:r>
      <w:r>
        <w:rPr>
          <w:rFonts w:hint="eastAsia"/>
        </w:rPr>
        <w:t>除</w:t>
      </w:r>
      <w:r>
        <w:t>五险一金外</w:t>
      </w:r>
      <w:r>
        <w:rPr>
          <w:rFonts w:hint="eastAsia"/>
        </w:rPr>
        <w:t>的</w:t>
      </w:r>
      <w:r>
        <w:t>其他保障和补贴</w:t>
      </w:r>
      <w:r>
        <w:rPr>
          <w:rFonts w:hint="eastAsia"/>
        </w:rPr>
        <w:t>，但</w:t>
      </w:r>
      <w:r>
        <w:t>仍有</w:t>
      </w:r>
      <w:r>
        <w:rPr>
          <w:rFonts w:hint="eastAsia"/>
        </w:rPr>
        <w:t>6.14</w:t>
      </w:r>
      <w:r>
        <w:t>%</w:t>
      </w:r>
      <w:r>
        <w:rPr>
          <w:rFonts w:hint="eastAsia"/>
        </w:rPr>
        <w:t>的</w:t>
      </w:r>
      <w:r>
        <w:t>毕业生在就业时用人单位没有为其提供任何福利保障。详见图</w:t>
      </w:r>
      <w:r>
        <w:rPr>
          <w:rFonts w:hint="eastAsia"/>
        </w:rPr>
        <w:t>3</w:t>
      </w:r>
      <w:r>
        <w:t>-8</w:t>
      </w:r>
      <w:r>
        <w:rPr>
          <w:rFonts w:hint="eastAsia"/>
        </w:rPr>
        <w:t>。</w:t>
      </w:r>
    </w:p>
    <w:p>
      <w:pPr>
        <w:jc w:val="center"/>
      </w:pPr>
      <w:r>
        <w:drawing>
          <wp:inline distT="0" distB="0" distL="0" distR="0">
            <wp:extent cx="4572000" cy="2743200"/>
            <wp:effectExtent l="0" t="0" r="0" b="0"/>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pStyle w:val="8"/>
        <w:jc w:val="center"/>
        <w:rPr>
          <w:rFonts w:asciiTheme="minorEastAsia" w:hAnsiTheme="minorEastAsia" w:eastAsiaTheme="minorEastAsia"/>
          <w:sz w:val="18"/>
          <w:szCs w:val="18"/>
        </w:rPr>
      </w:pPr>
      <w:bookmarkStart w:id="118" w:name="_Toc470887026"/>
      <w:r>
        <w:rPr>
          <w:rFonts w:hint="eastAsia" w:asciiTheme="minorEastAsia" w:hAnsiTheme="minorEastAsia" w:eastAsiaTheme="minorEastAsia"/>
          <w:sz w:val="18"/>
          <w:szCs w:val="18"/>
        </w:rPr>
        <w:t>图3-</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图3-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8</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已落实</w:t>
      </w:r>
      <w:r>
        <w:rPr>
          <w:rFonts w:asciiTheme="minorEastAsia" w:hAnsiTheme="minorEastAsia" w:eastAsiaTheme="minorEastAsia"/>
          <w:sz w:val="18"/>
          <w:szCs w:val="18"/>
        </w:rPr>
        <w:t>就业单位毕业生</w:t>
      </w:r>
      <w:r>
        <w:rPr>
          <w:rFonts w:hint="eastAsia" w:asciiTheme="minorEastAsia" w:hAnsiTheme="minorEastAsia" w:eastAsiaTheme="minorEastAsia"/>
          <w:sz w:val="18"/>
          <w:szCs w:val="18"/>
        </w:rPr>
        <w:t>福利保障</w:t>
      </w:r>
      <w:bookmarkEnd w:id="118"/>
    </w:p>
    <w:p/>
    <w:p>
      <w:pPr>
        <w:pStyle w:val="33"/>
      </w:pPr>
      <w:bookmarkStart w:id="119" w:name="_Toc469038349"/>
      <w:r>
        <w:rPr>
          <w:rFonts w:hint="eastAsia"/>
        </w:rPr>
        <w:t>2.福利保障满意度</w:t>
      </w:r>
      <w:bookmarkEnd w:id="119"/>
    </w:p>
    <w:p>
      <w:pPr>
        <w:pStyle w:val="40"/>
      </w:pPr>
      <w:r>
        <w:rPr>
          <w:rFonts w:hint="eastAsia"/>
        </w:rPr>
        <w:t>调研</w:t>
      </w:r>
      <w:r>
        <w:t>毕业生对目前</w:t>
      </w:r>
      <w:r>
        <w:rPr>
          <w:rFonts w:hint="eastAsia"/>
        </w:rPr>
        <w:t>福利</w:t>
      </w:r>
      <w:r>
        <w:t>保障的满意度，有</w:t>
      </w:r>
      <w:r>
        <w:rPr>
          <w:rFonts w:hint="eastAsia"/>
        </w:rPr>
        <w:t>87.82</w:t>
      </w:r>
      <w:r>
        <w:t>%的毕业生对目前</w:t>
      </w:r>
      <w:r>
        <w:rPr>
          <w:rFonts w:hint="eastAsia"/>
        </w:rPr>
        <w:t>福利</w:t>
      </w:r>
      <w:r>
        <w:t>保障</w:t>
      </w:r>
      <w:r>
        <w:rPr>
          <w:rFonts w:hint="eastAsia"/>
        </w:rPr>
        <w:t>表示“满意”，</w:t>
      </w:r>
      <w:r>
        <w:t>包括非常满意</w:t>
      </w:r>
      <w:r>
        <w:rPr>
          <w:rFonts w:hint="eastAsia"/>
        </w:rPr>
        <w:t>、</w:t>
      </w:r>
      <w:r>
        <w:t>满意和比较满意</w:t>
      </w:r>
      <w:r>
        <w:rPr>
          <w:rFonts w:hint="eastAsia"/>
        </w:rPr>
        <w:t>。</w:t>
      </w:r>
      <w:r>
        <w:t>详见图</w:t>
      </w:r>
      <w:r>
        <w:rPr>
          <w:rFonts w:hint="eastAsia"/>
        </w:rPr>
        <w:t>3</w:t>
      </w:r>
      <w:r>
        <w:t>-9</w:t>
      </w:r>
      <w:r>
        <w:rPr>
          <w:rFonts w:hint="eastAsia"/>
        </w:rPr>
        <w:t>。</w:t>
      </w:r>
    </w:p>
    <w:p>
      <w:pPr>
        <w:jc w:val="center"/>
      </w:pPr>
      <w:r>
        <w:drawing>
          <wp:inline distT="0" distB="0" distL="0" distR="0">
            <wp:extent cx="3971925" cy="2524125"/>
            <wp:effectExtent l="0" t="0" r="9525" b="9525"/>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pStyle w:val="8"/>
        <w:jc w:val="center"/>
        <w:rPr>
          <w:rFonts w:asciiTheme="minorEastAsia" w:hAnsiTheme="minorEastAsia" w:eastAsiaTheme="minorEastAsia"/>
          <w:sz w:val="18"/>
          <w:szCs w:val="18"/>
        </w:rPr>
      </w:pPr>
      <w:bookmarkStart w:id="120" w:name="_Toc470887027"/>
      <w:r>
        <w:rPr>
          <w:rFonts w:hint="eastAsia" w:asciiTheme="minorEastAsia" w:hAnsiTheme="minorEastAsia" w:eastAsiaTheme="minorEastAsia"/>
          <w:sz w:val="18"/>
          <w:szCs w:val="18"/>
        </w:rPr>
        <w:t>图3-</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图3-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9</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已落实</w:t>
      </w:r>
      <w:r>
        <w:rPr>
          <w:rFonts w:asciiTheme="minorEastAsia" w:hAnsiTheme="minorEastAsia" w:eastAsiaTheme="minorEastAsia"/>
          <w:sz w:val="18"/>
          <w:szCs w:val="18"/>
        </w:rPr>
        <w:t>就业单位毕业生</w:t>
      </w:r>
      <w:r>
        <w:rPr>
          <w:rFonts w:hint="eastAsia" w:asciiTheme="minorEastAsia" w:hAnsiTheme="minorEastAsia" w:eastAsiaTheme="minorEastAsia"/>
          <w:sz w:val="18"/>
          <w:szCs w:val="18"/>
        </w:rPr>
        <w:t>福利保障</w:t>
      </w:r>
      <w:r>
        <w:rPr>
          <w:rFonts w:asciiTheme="minorEastAsia" w:hAnsiTheme="minorEastAsia" w:eastAsiaTheme="minorEastAsia"/>
          <w:sz w:val="18"/>
          <w:szCs w:val="18"/>
        </w:rPr>
        <w:t>满意度</w:t>
      </w:r>
      <w:bookmarkEnd w:id="120"/>
    </w:p>
    <w:p>
      <w:pPr>
        <w:pStyle w:val="30"/>
      </w:pPr>
      <w:bookmarkStart w:id="121" w:name="_Toc469038350"/>
      <w:bookmarkStart w:id="122" w:name="_Toc471310937"/>
      <w:r>
        <w:rPr>
          <w:rFonts w:hint="eastAsia"/>
        </w:rPr>
        <w:t>（四）专业对口度</w:t>
      </w:r>
      <w:r>
        <w:t>分析</w:t>
      </w:r>
      <w:bookmarkEnd w:id="121"/>
      <w:bookmarkEnd w:id="122"/>
    </w:p>
    <w:p>
      <w:pPr>
        <w:pStyle w:val="40"/>
      </w:pPr>
      <w:r>
        <w:rPr>
          <w:rFonts w:hint="eastAsia"/>
        </w:rPr>
        <w:t>调研</w:t>
      </w:r>
      <w:r>
        <w:t>数据显示，</w:t>
      </w:r>
      <w:r>
        <w:rPr>
          <w:rFonts w:hint="eastAsia"/>
        </w:rPr>
        <w:t>已落实</w:t>
      </w:r>
      <w:r>
        <w:t>就业</w:t>
      </w:r>
      <w:r>
        <w:rPr>
          <w:rFonts w:hint="eastAsia"/>
        </w:rPr>
        <w:t>单位</w:t>
      </w:r>
      <w:r>
        <w:t>的毕业生工作与专业</w:t>
      </w:r>
      <w:r>
        <w:rPr>
          <w:rFonts w:hint="eastAsia"/>
        </w:rPr>
        <w:t>对口</w:t>
      </w:r>
      <w:r>
        <w:t>度为</w:t>
      </w:r>
      <w:r>
        <w:rPr>
          <w:rFonts w:hint="eastAsia"/>
        </w:rPr>
        <w:t>78.66</w:t>
      </w:r>
      <w:r>
        <w:t>%，</w:t>
      </w:r>
      <w:r>
        <w:rPr>
          <w:rFonts w:hint="eastAsia"/>
        </w:rPr>
        <w:t>包括“非常对口”（24.18</w:t>
      </w:r>
      <w:r>
        <w:t>%</w:t>
      </w:r>
      <w:r>
        <w:rPr>
          <w:rFonts w:hint="eastAsia"/>
        </w:rPr>
        <w:t>），“对口”（35.26</w:t>
      </w:r>
      <w:r>
        <w:t>%</w:t>
      </w:r>
      <w:r>
        <w:rPr>
          <w:rFonts w:hint="eastAsia"/>
        </w:rPr>
        <w:t>）和“比较对口”（19.23</w:t>
      </w:r>
      <w:r>
        <w:t>%</w:t>
      </w:r>
      <w:r>
        <w:rPr>
          <w:rFonts w:hint="eastAsia"/>
        </w:rPr>
        <w:t>）。由此</w:t>
      </w:r>
      <w:r>
        <w:t>说明大多数毕业生目前所从事的工作与</w:t>
      </w:r>
      <w:r>
        <w:rPr>
          <w:rFonts w:hint="eastAsia"/>
        </w:rPr>
        <w:t>自己</w:t>
      </w:r>
      <w:r>
        <w:t>专业对口，能够很好地发挥专业所长，将理论应用于</w:t>
      </w:r>
      <w:r>
        <w:rPr>
          <w:rFonts w:hint="eastAsia"/>
        </w:rPr>
        <w:t>实践。</w:t>
      </w:r>
      <w:r>
        <w:t>详见</w:t>
      </w:r>
      <w:r>
        <w:rPr>
          <w:rFonts w:hint="eastAsia"/>
        </w:rPr>
        <w:t>图3</w:t>
      </w:r>
      <w:r>
        <w:t>-10。</w:t>
      </w:r>
    </w:p>
    <w:p>
      <w:pPr>
        <w:jc w:val="center"/>
      </w:pPr>
      <w:r>
        <w:drawing>
          <wp:inline distT="0" distB="0" distL="0" distR="0">
            <wp:extent cx="3724275" cy="2486025"/>
            <wp:effectExtent l="0" t="0" r="9525" b="9525"/>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8"/>
        <w:jc w:val="center"/>
        <w:rPr>
          <w:rFonts w:asciiTheme="minorEastAsia" w:hAnsiTheme="minorEastAsia" w:eastAsiaTheme="minorEastAsia"/>
          <w:sz w:val="18"/>
          <w:szCs w:val="18"/>
        </w:rPr>
      </w:pPr>
      <w:bookmarkStart w:id="123" w:name="_Toc470887028"/>
      <w:r>
        <w:rPr>
          <w:rFonts w:hint="eastAsia" w:asciiTheme="minorEastAsia" w:hAnsiTheme="minorEastAsia" w:eastAsiaTheme="minorEastAsia"/>
          <w:sz w:val="18"/>
          <w:szCs w:val="18"/>
        </w:rPr>
        <w:t>图3-</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图3-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10</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已落实</w:t>
      </w:r>
      <w:r>
        <w:rPr>
          <w:rFonts w:asciiTheme="minorEastAsia" w:hAnsiTheme="minorEastAsia" w:eastAsiaTheme="minorEastAsia"/>
          <w:sz w:val="18"/>
          <w:szCs w:val="18"/>
        </w:rPr>
        <w:t>就业单位毕业生</w:t>
      </w:r>
      <w:r>
        <w:rPr>
          <w:rFonts w:hint="eastAsia" w:asciiTheme="minorEastAsia" w:hAnsiTheme="minorEastAsia" w:eastAsiaTheme="minorEastAsia"/>
          <w:sz w:val="18"/>
          <w:szCs w:val="18"/>
        </w:rPr>
        <w:t>工作</w:t>
      </w:r>
      <w:r>
        <w:rPr>
          <w:rFonts w:asciiTheme="minorEastAsia" w:hAnsiTheme="minorEastAsia" w:eastAsiaTheme="minorEastAsia"/>
          <w:sz w:val="18"/>
          <w:szCs w:val="18"/>
        </w:rPr>
        <w:t>与专业</w:t>
      </w:r>
      <w:r>
        <w:rPr>
          <w:rFonts w:hint="eastAsia" w:asciiTheme="minorEastAsia" w:hAnsiTheme="minorEastAsia" w:eastAsiaTheme="minorEastAsia"/>
          <w:sz w:val="18"/>
          <w:szCs w:val="18"/>
        </w:rPr>
        <w:t>对口度</w:t>
      </w:r>
      <w:bookmarkEnd w:id="123"/>
    </w:p>
    <w:p>
      <w:pPr>
        <w:pStyle w:val="30"/>
      </w:pPr>
      <w:bookmarkStart w:id="124" w:name="_Toc471310938"/>
      <w:bookmarkStart w:id="125" w:name="_Toc469038351"/>
      <w:r>
        <w:rPr>
          <w:rFonts w:hint="eastAsia"/>
        </w:rPr>
        <w:t>（五）职业与理想吻合度</w:t>
      </w:r>
      <w:bookmarkEnd w:id="124"/>
      <w:bookmarkEnd w:id="125"/>
    </w:p>
    <w:p>
      <w:pPr>
        <w:pStyle w:val="40"/>
      </w:pPr>
      <w:r>
        <w:rPr>
          <w:rFonts w:hint="eastAsia"/>
        </w:rPr>
        <w:t>调研数据表明</w:t>
      </w:r>
      <w:r>
        <w:t>，18.13%的毕业生表示目前工作与理想</w:t>
      </w:r>
      <w:r>
        <w:rPr>
          <w:rFonts w:hint="eastAsia"/>
        </w:rPr>
        <w:t>“吻合度比较小”</w:t>
      </w:r>
      <w:r>
        <w:t>，</w:t>
      </w:r>
      <w:r>
        <w:rPr>
          <w:rFonts w:hint="eastAsia"/>
        </w:rPr>
        <w:t>1.83</w:t>
      </w:r>
      <w:r>
        <w:t>%的毕业生表示</w:t>
      </w:r>
      <w:r>
        <w:rPr>
          <w:rFonts w:hint="eastAsia"/>
        </w:rPr>
        <w:t>“一点也不吻合”。由此说明有</w:t>
      </w:r>
      <w:r>
        <w:t>部分毕业生目前从事的工作并不是自己理想中的工作，</w:t>
      </w:r>
      <w:r>
        <w:rPr>
          <w:rFonts w:hint="eastAsia"/>
        </w:rPr>
        <w:t>还需要持续</w:t>
      </w:r>
      <w:r>
        <w:t>在工作中摸索，</w:t>
      </w:r>
      <w:r>
        <w:rPr>
          <w:rFonts w:hint="eastAsia"/>
        </w:rPr>
        <w:t>寻找符合</w:t>
      </w:r>
      <w:r>
        <w:t>自己理想的职业</w:t>
      </w:r>
      <w:r>
        <w:rPr>
          <w:rFonts w:hint="eastAsia"/>
        </w:rPr>
        <w:t>方向</w:t>
      </w:r>
      <w:r>
        <w:t>。</w:t>
      </w:r>
      <w:r>
        <w:rPr>
          <w:rFonts w:hint="eastAsia"/>
        </w:rPr>
        <w:t>详见图3</w:t>
      </w:r>
      <w:r>
        <w:t>-11。</w:t>
      </w:r>
    </w:p>
    <w:p>
      <w:pPr>
        <w:ind w:firstLine="105" w:firstLineChars="50"/>
        <w:jc w:val="center"/>
      </w:pPr>
      <w:r>
        <w:drawing>
          <wp:inline distT="0" distB="0" distL="0" distR="0">
            <wp:extent cx="4505325" cy="3228975"/>
            <wp:effectExtent l="0" t="0" r="9525" b="9525"/>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pStyle w:val="8"/>
        <w:jc w:val="center"/>
        <w:rPr>
          <w:rFonts w:asciiTheme="minorEastAsia" w:hAnsiTheme="minorEastAsia" w:eastAsiaTheme="minorEastAsia"/>
          <w:sz w:val="18"/>
          <w:szCs w:val="18"/>
        </w:rPr>
      </w:pPr>
      <w:bookmarkStart w:id="126" w:name="_Toc470887029"/>
      <w:r>
        <w:rPr>
          <w:rFonts w:hint="eastAsia" w:asciiTheme="minorEastAsia" w:hAnsiTheme="minorEastAsia" w:eastAsiaTheme="minorEastAsia"/>
          <w:sz w:val="18"/>
          <w:szCs w:val="18"/>
        </w:rPr>
        <w:t>图3-</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图3-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11</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已落实</w:t>
      </w:r>
      <w:r>
        <w:rPr>
          <w:rFonts w:asciiTheme="minorEastAsia" w:hAnsiTheme="minorEastAsia" w:eastAsiaTheme="minorEastAsia"/>
          <w:sz w:val="18"/>
          <w:szCs w:val="18"/>
        </w:rPr>
        <w:t>就业单位毕业生</w:t>
      </w:r>
      <w:r>
        <w:rPr>
          <w:rFonts w:hint="eastAsia" w:asciiTheme="minorEastAsia" w:hAnsiTheme="minorEastAsia" w:eastAsiaTheme="minorEastAsia"/>
          <w:sz w:val="18"/>
          <w:szCs w:val="18"/>
        </w:rPr>
        <w:t>职业与理想吻合度</w:t>
      </w:r>
      <w:bookmarkEnd w:id="126"/>
    </w:p>
    <w:p>
      <w:pPr>
        <w:pStyle w:val="30"/>
      </w:pPr>
      <w:bookmarkStart w:id="127" w:name="_Toc469038352"/>
      <w:bookmarkStart w:id="128" w:name="_Toc471310939"/>
      <w:r>
        <w:rPr>
          <w:rFonts w:hint="eastAsia"/>
        </w:rPr>
        <w:t>（六）调换工作情况</w:t>
      </w:r>
      <w:bookmarkEnd w:id="127"/>
      <w:bookmarkEnd w:id="128"/>
    </w:p>
    <w:p>
      <w:pPr>
        <w:pStyle w:val="33"/>
      </w:pPr>
      <w:bookmarkStart w:id="129" w:name="_Toc469038353"/>
      <w:r>
        <w:rPr>
          <w:rFonts w:hint="eastAsia"/>
        </w:rPr>
        <w:t>1</w:t>
      </w:r>
      <w:r>
        <w:t>.</w:t>
      </w:r>
      <w:r>
        <w:rPr>
          <w:rFonts w:hint="eastAsia"/>
        </w:rPr>
        <w:t>调换</w:t>
      </w:r>
      <w:r>
        <w:t>工作</w:t>
      </w:r>
      <w:r>
        <w:rPr>
          <w:rFonts w:hint="eastAsia"/>
        </w:rPr>
        <w:t>次数</w:t>
      </w:r>
      <w:bookmarkEnd w:id="129"/>
    </w:p>
    <w:p>
      <w:pPr>
        <w:pStyle w:val="40"/>
      </w:pPr>
      <w:r>
        <w:rPr>
          <w:rFonts w:hint="eastAsia"/>
        </w:rPr>
        <w:t>根据</w:t>
      </w:r>
      <w:r>
        <w:t>调研数据，</w:t>
      </w:r>
      <w:r>
        <w:rPr>
          <w:rFonts w:hint="eastAsia"/>
        </w:rPr>
        <w:t>大多数</w:t>
      </w:r>
      <w:r>
        <w:t>毕业生到目前为止没有换</w:t>
      </w:r>
      <w:r>
        <w:rPr>
          <w:rFonts w:hint="eastAsia"/>
        </w:rPr>
        <w:t>过</w:t>
      </w:r>
      <w:r>
        <w:t>工作</w:t>
      </w:r>
      <w:r>
        <w:rPr>
          <w:rFonts w:hint="eastAsia"/>
        </w:rPr>
        <w:t>，</w:t>
      </w:r>
      <w:r>
        <w:t>占比达</w:t>
      </w:r>
      <w:r>
        <w:rPr>
          <w:rFonts w:hint="eastAsia"/>
        </w:rPr>
        <w:t>65.29</w:t>
      </w:r>
      <w:r>
        <w:t>%，</w:t>
      </w:r>
      <w:r>
        <w:rPr>
          <w:rFonts w:hint="eastAsia"/>
        </w:rPr>
        <w:t>换工作4次</w:t>
      </w:r>
      <w:r>
        <w:t>以上的</w:t>
      </w:r>
      <w:r>
        <w:rPr>
          <w:rFonts w:hint="eastAsia"/>
        </w:rPr>
        <w:t>仅占0.46</w:t>
      </w:r>
      <w:r>
        <w:t>%。说明</w:t>
      </w:r>
      <w:r>
        <w:rPr>
          <w:rFonts w:hint="eastAsia"/>
        </w:rPr>
        <w:t>学校多数</w:t>
      </w:r>
      <w:r>
        <w:t>毕业生到目前为止没有频繁调换过工作</w:t>
      </w:r>
      <w:r>
        <w:rPr>
          <w:rFonts w:hint="eastAsia"/>
        </w:rPr>
        <w:t>，</w:t>
      </w:r>
      <w:r>
        <w:t>工作</w:t>
      </w:r>
      <w:r>
        <w:rPr>
          <w:rFonts w:hint="eastAsia"/>
        </w:rPr>
        <w:t>稳定性</w:t>
      </w:r>
      <w:r>
        <w:t>较高。</w:t>
      </w:r>
      <w:r>
        <w:rPr>
          <w:rFonts w:hint="eastAsia"/>
        </w:rPr>
        <w:t>详见图3</w:t>
      </w:r>
      <w:r>
        <w:t>-12。</w:t>
      </w:r>
    </w:p>
    <w:p>
      <w:pPr>
        <w:jc w:val="center"/>
      </w:pPr>
      <w:r>
        <w:drawing>
          <wp:inline distT="0" distB="0" distL="0" distR="0">
            <wp:extent cx="4572000" cy="2743200"/>
            <wp:effectExtent l="0" t="0" r="0" b="0"/>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pStyle w:val="8"/>
        <w:jc w:val="center"/>
        <w:rPr>
          <w:rFonts w:asciiTheme="minorEastAsia" w:hAnsiTheme="minorEastAsia" w:eastAsiaTheme="minorEastAsia"/>
          <w:sz w:val="18"/>
          <w:szCs w:val="18"/>
        </w:rPr>
      </w:pPr>
      <w:bookmarkStart w:id="130" w:name="_Toc470887030"/>
      <w:r>
        <w:rPr>
          <w:rFonts w:hint="eastAsia" w:asciiTheme="minorEastAsia" w:hAnsiTheme="minorEastAsia" w:eastAsiaTheme="minorEastAsia"/>
          <w:sz w:val="18"/>
          <w:szCs w:val="18"/>
        </w:rPr>
        <w:t>图3-</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图3-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12</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已落实</w:t>
      </w:r>
      <w:r>
        <w:rPr>
          <w:rFonts w:asciiTheme="minorEastAsia" w:hAnsiTheme="minorEastAsia" w:eastAsiaTheme="minorEastAsia"/>
          <w:sz w:val="18"/>
          <w:szCs w:val="18"/>
        </w:rPr>
        <w:t>就业单位毕业生</w:t>
      </w:r>
      <w:r>
        <w:rPr>
          <w:rFonts w:hint="eastAsia" w:asciiTheme="minorEastAsia" w:hAnsiTheme="minorEastAsia" w:eastAsiaTheme="minorEastAsia"/>
          <w:sz w:val="18"/>
          <w:szCs w:val="18"/>
        </w:rPr>
        <w:t>调换工作次数</w:t>
      </w:r>
      <w:bookmarkEnd w:id="130"/>
    </w:p>
    <w:p>
      <w:pPr>
        <w:pStyle w:val="33"/>
      </w:pPr>
      <w:bookmarkStart w:id="131" w:name="_Toc469038354"/>
      <w:r>
        <w:rPr>
          <w:rFonts w:hint="eastAsia"/>
        </w:rPr>
        <w:t>2</w:t>
      </w:r>
      <w:r>
        <w:t>.</w:t>
      </w:r>
      <w:r>
        <w:rPr>
          <w:rFonts w:hint="eastAsia"/>
        </w:rPr>
        <w:t>调换</w:t>
      </w:r>
      <w:r>
        <w:t>工作</w:t>
      </w:r>
      <w:r>
        <w:rPr>
          <w:rFonts w:hint="eastAsia"/>
        </w:rPr>
        <w:t>原因</w:t>
      </w:r>
      <w:bookmarkEnd w:id="131"/>
    </w:p>
    <w:p>
      <w:pPr>
        <w:pStyle w:val="40"/>
      </w:pPr>
      <w:r>
        <w:rPr>
          <w:rFonts w:hint="eastAsia"/>
        </w:rPr>
        <w:t>调研数据</w:t>
      </w:r>
      <w:r>
        <w:t>显示，</w:t>
      </w:r>
      <w:r>
        <w:rPr>
          <w:rFonts w:hint="eastAsia"/>
        </w:rPr>
        <w:t>毕业生</w:t>
      </w:r>
      <w:r>
        <w:t>换工作的首要原因是</w:t>
      </w:r>
      <w:r>
        <w:rPr>
          <w:rFonts w:hint="eastAsia"/>
        </w:rPr>
        <w:t>“发展空间</w:t>
      </w:r>
      <w:r>
        <w:t>不大</w:t>
      </w:r>
      <w:r>
        <w:rPr>
          <w:rFonts w:hint="eastAsia"/>
        </w:rPr>
        <w:t>”，其次</w:t>
      </w:r>
      <w:r>
        <w:t>是</w:t>
      </w:r>
      <w:r>
        <w:rPr>
          <w:rFonts w:hint="eastAsia"/>
        </w:rPr>
        <w:t>“薪资福利差”，</w:t>
      </w:r>
      <w:r>
        <w:t>由此说明</w:t>
      </w:r>
      <w:r>
        <w:rPr>
          <w:rFonts w:hint="eastAsia"/>
        </w:rPr>
        <w:t>毕业生</w:t>
      </w:r>
      <w:r>
        <w:t>在考虑工作时</w:t>
      </w:r>
      <w:r>
        <w:rPr>
          <w:rFonts w:hint="eastAsia"/>
        </w:rPr>
        <w:t>不仅</w:t>
      </w:r>
      <w:r>
        <w:t>考虑待遇问题，</w:t>
      </w:r>
      <w:r>
        <w:rPr>
          <w:rFonts w:hint="eastAsia"/>
        </w:rPr>
        <w:t>更</w:t>
      </w:r>
      <w:r>
        <w:t>注重长远发展</w:t>
      </w:r>
      <w:r>
        <w:rPr>
          <w:rFonts w:hint="eastAsia"/>
        </w:rPr>
        <w:t>。此外</w:t>
      </w:r>
      <w:r>
        <w:t>，还有一些其他原因如</w:t>
      </w:r>
      <w:r>
        <w:rPr>
          <w:rFonts w:hint="eastAsia"/>
        </w:rPr>
        <w:t>“工作压力</w:t>
      </w:r>
      <w:r>
        <w:t>大</w:t>
      </w:r>
      <w:r>
        <w:rPr>
          <w:rFonts w:hint="eastAsia"/>
        </w:rPr>
        <w:t>”“工作地域问题”“工作环境</w:t>
      </w:r>
      <w:r>
        <w:t>不好</w:t>
      </w:r>
      <w:r>
        <w:rPr>
          <w:rFonts w:hint="eastAsia"/>
        </w:rPr>
        <w:t>”“家庭原因”等也成为</w:t>
      </w:r>
      <w:r>
        <w:t>毕业生换</w:t>
      </w:r>
      <w:r>
        <w:rPr>
          <w:rFonts w:hint="eastAsia"/>
        </w:rPr>
        <w:t>工作</w:t>
      </w:r>
      <w:r>
        <w:t>的原因</w:t>
      </w:r>
      <w:r>
        <w:rPr>
          <w:rFonts w:hint="eastAsia"/>
        </w:rPr>
        <w:t>。详细</w:t>
      </w:r>
      <w:r>
        <w:t>数据</w:t>
      </w:r>
      <w:r>
        <w:rPr>
          <w:rFonts w:hint="eastAsia"/>
        </w:rPr>
        <w:t>见图3</w:t>
      </w:r>
      <w:r>
        <w:t>-13</w:t>
      </w:r>
      <w:r>
        <w:rPr>
          <w:rFonts w:hint="eastAsia"/>
        </w:rPr>
        <w:t>。</w:t>
      </w:r>
    </w:p>
    <w:p>
      <w:pPr>
        <w:jc w:val="center"/>
      </w:pPr>
      <w:r>
        <w:drawing>
          <wp:inline distT="0" distB="0" distL="0" distR="0">
            <wp:extent cx="4572000" cy="2743200"/>
            <wp:effectExtent l="0" t="0" r="0" b="0"/>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pStyle w:val="8"/>
        <w:jc w:val="center"/>
        <w:rPr>
          <w:rFonts w:asciiTheme="minorEastAsia" w:hAnsiTheme="minorEastAsia" w:eastAsiaTheme="minorEastAsia"/>
          <w:sz w:val="18"/>
          <w:szCs w:val="18"/>
        </w:rPr>
      </w:pPr>
      <w:bookmarkStart w:id="132" w:name="_Toc470887031"/>
      <w:r>
        <w:rPr>
          <w:rFonts w:hint="eastAsia" w:asciiTheme="minorEastAsia" w:hAnsiTheme="minorEastAsia" w:eastAsiaTheme="minorEastAsia"/>
          <w:sz w:val="18"/>
          <w:szCs w:val="18"/>
        </w:rPr>
        <w:t>图3-</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图3-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13</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已落实</w:t>
      </w:r>
      <w:r>
        <w:rPr>
          <w:rFonts w:asciiTheme="minorEastAsia" w:hAnsiTheme="minorEastAsia" w:eastAsiaTheme="minorEastAsia"/>
          <w:sz w:val="18"/>
          <w:szCs w:val="18"/>
        </w:rPr>
        <w:t>就业单位毕业生</w:t>
      </w:r>
      <w:r>
        <w:rPr>
          <w:rFonts w:hint="eastAsia" w:asciiTheme="minorEastAsia" w:hAnsiTheme="minorEastAsia" w:eastAsiaTheme="minorEastAsia"/>
          <w:sz w:val="18"/>
          <w:szCs w:val="18"/>
        </w:rPr>
        <w:t>调换工作</w:t>
      </w:r>
      <w:r>
        <w:rPr>
          <w:rFonts w:asciiTheme="minorEastAsia" w:hAnsiTheme="minorEastAsia" w:eastAsiaTheme="minorEastAsia"/>
          <w:sz w:val="18"/>
          <w:szCs w:val="18"/>
        </w:rPr>
        <w:t>原因</w:t>
      </w:r>
      <w:bookmarkEnd w:id="132"/>
    </w:p>
    <w:p>
      <w:pPr>
        <w:pStyle w:val="30"/>
      </w:pPr>
      <w:bookmarkStart w:id="133" w:name="_Toc471310940"/>
      <w:bookmarkStart w:id="134" w:name="_Toc469038355"/>
      <w:r>
        <w:rPr>
          <w:rFonts w:hint="eastAsia"/>
        </w:rPr>
        <w:t>（七）毕业生</w:t>
      </w:r>
      <w:r>
        <w:t>就业质量</w:t>
      </w:r>
      <w:r>
        <w:rPr>
          <w:rFonts w:hint="eastAsia"/>
        </w:rPr>
        <w:t>模型</w:t>
      </w:r>
      <w:r>
        <w:t>分析</w:t>
      </w:r>
      <w:bookmarkEnd w:id="133"/>
      <w:bookmarkEnd w:id="134"/>
    </w:p>
    <w:p>
      <w:pPr>
        <w:pStyle w:val="33"/>
      </w:pPr>
      <w:bookmarkStart w:id="135" w:name="_Toc469038356"/>
      <w:r>
        <w:rPr>
          <w:rFonts w:hint="eastAsia"/>
        </w:rPr>
        <w:t>1</w:t>
      </w:r>
      <w:r>
        <w:t>.</w:t>
      </w:r>
      <w:r>
        <w:rPr>
          <w:rFonts w:hint="eastAsia"/>
        </w:rPr>
        <w:t>评估</w:t>
      </w:r>
      <w:r>
        <w:t>使用数据说明</w:t>
      </w:r>
      <w:bookmarkEnd w:id="135"/>
    </w:p>
    <w:p>
      <w:pPr>
        <w:pStyle w:val="8"/>
        <w:jc w:val="center"/>
        <w:rPr>
          <w:rFonts w:asciiTheme="minorEastAsia" w:hAnsiTheme="minorEastAsia" w:eastAsiaTheme="minorEastAsia"/>
          <w:sz w:val="18"/>
          <w:szCs w:val="18"/>
        </w:rPr>
      </w:pPr>
      <w:bookmarkStart w:id="136" w:name="_Toc459807154"/>
      <w:bookmarkStart w:id="137" w:name="_Toc470886980"/>
      <w:r>
        <w:rPr>
          <w:rFonts w:hint="eastAsia" w:asciiTheme="minorEastAsia" w:hAnsiTheme="minorEastAsia" w:eastAsiaTheme="minorEastAsia"/>
          <w:sz w:val="18"/>
          <w:szCs w:val="18"/>
        </w:rPr>
        <w:t>表3-</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表3-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3</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评估</w:t>
      </w:r>
      <w:r>
        <w:rPr>
          <w:rFonts w:asciiTheme="minorEastAsia" w:hAnsiTheme="minorEastAsia" w:eastAsiaTheme="minorEastAsia"/>
          <w:sz w:val="18"/>
          <w:szCs w:val="18"/>
        </w:rPr>
        <w:t>使用数据说明</w:t>
      </w:r>
      <w:bookmarkEnd w:id="136"/>
      <w:bookmarkEnd w:id="137"/>
    </w:p>
    <w:tbl>
      <w:tblPr>
        <w:tblStyle w:val="53"/>
        <w:tblW w:w="7933" w:type="dxa"/>
        <w:jc w:val="center"/>
        <w:tblInd w:w="0" w:type="dxa"/>
        <w:tblBorders>
          <w:top w:val="single" w:color="1F4E79" w:themeColor="accent1" w:themeShade="80" w:sz="18" w:space="0"/>
          <w:left w:val="single" w:color="1F4E79" w:themeColor="accent1" w:themeShade="80" w:sz="18" w:space="0"/>
          <w:bottom w:val="single" w:color="1F4E79" w:themeColor="accent1" w:themeShade="80" w:sz="18" w:space="0"/>
          <w:right w:val="single" w:color="1F4E79" w:themeColor="accent1" w:themeShade="80" w:sz="18" w:space="0"/>
          <w:insideH w:val="single" w:color="1F4E79" w:themeColor="accent1" w:themeShade="80" w:sz="18" w:space="0"/>
          <w:insideV w:val="single" w:color="1F4E79" w:themeColor="accent1" w:themeShade="80" w:sz="18" w:space="0"/>
        </w:tblBorders>
        <w:tblLayout w:type="fixed"/>
        <w:tblCellMar>
          <w:top w:w="0" w:type="dxa"/>
          <w:left w:w="108" w:type="dxa"/>
          <w:bottom w:w="0" w:type="dxa"/>
          <w:right w:w="108" w:type="dxa"/>
        </w:tblCellMar>
      </w:tblPr>
      <w:tblGrid>
        <w:gridCol w:w="1696"/>
        <w:gridCol w:w="1701"/>
        <w:gridCol w:w="1843"/>
        <w:gridCol w:w="2693"/>
      </w:tblGrid>
      <w:tr>
        <w:tblPrEx>
          <w:tblBorders>
            <w:top w:val="single" w:color="1F4E79" w:themeColor="accent1" w:themeShade="80" w:sz="18" w:space="0"/>
            <w:left w:val="single" w:color="1F4E79" w:themeColor="accent1" w:themeShade="80" w:sz="18" w:space="0"/>
            <w:bottom w:val="single" w:color="1F4E79" w:themeColor="accent1" w:themeShade="80" w:sz="18" w:space="0"/>
            <w:right w:val="single" w:color="1F4E79" w:themeColor="accent1" w:themeShade="80" w:sz="18" w:space="0"/>
            <w:insideH w:val="single" w:color="1F4E79" w:themeColor="accent1" w:themeShade="80" w:sz="18" w:space="0"/>
            <w:insideV w:val="single" w:color="1F4E79" w:themeColor="accent1" w:themeShade="80" w:sz="18" w:space="0"/>
          </w:tblBorders>
          <w:tblLayout w:type="fixed"/>
          <w:tblCellMar>
            <w:top w:w="0" w:type="dxa"/>
            <w:left w:w="108" w:type="dxa"/>
            <w:bottom w:w="0" w:type="dxa"/>
            <w:right w:w="108" w:type="dxa"/>
          </w:tblCellMar>
        </w:tblPrEx>
        <w:trPr>
          <w:trHeight w:val="401" w:hRule="atLeast"/>
          <w:jc w:val="center"/>
        </w:trPr>
        <w:tc>
          <w:tcPr>
            <w:tcW w:w="1696" w:type="dxa"/>
            <w:tcBorders>
              <w:bottom w:val="nil"/>
            </w:tcBorders>
            <w:vAlign w:val="center"/>
          </w:tcPr>
          <w:p>
            <w:pPr>
              <w:spacing w:before="156" w:after="156"/>
              <w:jc w:val="center"/>
              <w:rPr>
                <w:b/>
                <w:bCs/>
              </w:rPr>
            </w:pPr>
            <w:r>
              <w:rPr>
                <w:rFonts w:hint="eastAsia"/>
                <w:b/>
                <w:bCs/>
              </w:rPr>
              <w:t>数据</w:t>
            </w:r>
            <w:r>
              <w:rPr>
                <w:b/>
                <w:bCs/>
              </w:rPr>
              <w:t>总量</w:t>
            </w:r>
          </w:p>
        </w:tc>
        <w:tc>
          <w:tcPr>
            <w:tcW w:w="1701" w:type="dxa"/>
            <w:tcBorders>
              <w:bottom w:val="nil"/>
            </w:tcBorders>
          </w:tcPr>
          <w:p>
            <w:pPr>
              <w:spacing w:before="156" w:after="156"/>
              <w:jc w:val="center"/>
              <w:rPr>
                <w:b/>
                <w:bCs/>
              </w:rPr>
            </w:pPr>
            <w:r>
              <w:rPr>
                <w:rFonts w:hint="eastAsia"/>
                <w:b/>
                <w:bCs/>
              </w:rPr>
              <w:t>899</w:t>
            </w:r>
          </w:p>
        </w:tc>
        <w:tc>
          <w:tcPr>
            <w:tcW w:w="1843" w:type="dxa"/>
            <w:tcBorders>
              <w:bottom w:val="nil"/>
            </w:tcBorders>
          </w:tcPr>
          <w:p>
            <w:pPr>
              <w:spacing w:before="156" w:after="156"/>
              <w:jc w:val="center"/>
              <w:rPr>
                <w:b/>
                <w:bCs/>
              </w:rPr>
            </w:pPr>
            <w:r>
              <w:rPr>
                <w:rFonts w:hint="eastAsia"/>
                <w:b/>
                <w:bCs/>
              </w:rPr>
              <w:t>参与</w:t>
            </w:r>
            <w:r>
              <w:rPr>
                <w:b/>
                <w:bCs/>
              </w:rPr>
              <w:t>评估指标数</w:t>
            </w:r>
          </w:p>
        </w:tc>
        <w:tc>
          <w:tcPr>
            <w:tcW w:w="2693" w:type="dxa"/>
            <w:tcBorders>
              <w:bottom w:val="nil"/>
            </w:tcBorders>
          </w:tcPr>
          <w:p>
            <w:pPr>
              <w:spacing w:before="156" w:after="156"/>
              <w:jc w:val="center"/>
              <w:rPr>
                <w:b/>
                <w:bCs/>
              </w:rPr>
            </w:pPr>
            <w:r>
              <w:rPr>
                <w:rFonts w:hint="eastAsia"/>
                <w:b/>
                <w:bCs/>
              </w:rPr>
              <w:t>15</w:t>
            </w:r>
          </w:p>
        </w:tc>
      </w:tr>
      <w:tr>
        <w:tblPrEx>
          <w:tblBorders>
            <w:top w:val="single" w:color="1F4E79" w:themeColor="accent1" w:themeShade="80" w:sz="18" w:space="0"/>
            <w:left w:val="single" w:color="1F4E79" w:themeColor="accent1" w:themeShade="80" w:sz="18" w:space="0"/>
            <w:bottom w:val="single" w:color="1F4E79" w:themeColor="accent1" w:themeShade="80" w:sz="18" w:space="0"/>
            <w:right w:val="single" w:color="1F4E79" w:themeColor="accent1" w:themeShade="80" w:sz="18" w:space="0"/>
            <w:insideH w:val="single" w:color="1F4E79" w:themeColor="accent1" w:themeShade="80" w:sz="18" w:space="0"/>
            <w:insideV w:val="single" w:color="1F4E79" w:themeColor="accent1" w:themeShade="80" w:sz="18" w:space="0"/>
          </w:tblBorders>
          <w:tblLayout w:type="fixed"/>
          <w:tblCellMar>
            <w:top w:w="0" w:type="dxa"/>
            <w:left w:w="108" w:type="dxa"/>
            <w:bottom w:w="0" w:type="dxa"/>
            <w:right w:w="108" w:type="dxa"/>
          </w:tblCellMar>
        </w:tblPrEx>
        <w:trPr>
          <w:trHeight w:val="421" w:hRule="atLeast"/>
          <w:jc w:val="center"/>
        </w:trPr>
        <w:tc>
          <w:tcPr>
            <w:tcW w:w="1696" w:type="dxa"/>
            <w:vAlign w:val="center"/>
          </w:tcPr>
          <w:p>
            <w:pPr>
              <w:spacing w:before="156" w:after="156"/>
              <w:jc w:val="center"/>
              <w:rPr>
                <w:b/>
                <w:bCs/>
              </w:rPr>
            </w:pPr>
            <w:r>
              <w:rPr>
                <w:rFonts w:hint="eastAsia"/>
                <w:b/>
                <w:bCs/>
              </w:rPr>
              <w:t>评估</w:t>
            </w:r>
            <w:r>
              <w:rPr>
                <w:b/>
                <w:bCs/>
              </w:rPr>
              <w:t>数据可靠性</w:t>
            </w:r>
          </w:p>
        </w:tc>
        <w:tc>
          <w:tcPr>
            <w:tcW w:w="1701" w:type="dxa"/>
          </w:tcPr>
          <w:p>
            <w:pPr>
              <w:spacing w:before="156" w:after="156"/>
              <w:jc w:val="center"/>
            </w:pPr>
            <w:r>
              <w:rPr>
                <w:rFonts w:hint="eastAsia"/>
              </w:rPr>
              <w:t>0.896</w:t>
            </w:r>
          </w:p>
        </w:tc>
        <w:tc>
          <w:tcPr>
            <w:tcW w:w="1843" w:type="dxa"/>
          </w:tcPr>
          <w:p>
            <w:pPr>
              <w:spacing w:before="156" w:after="156"/>
              <w:jc w:val="center"/>
              <w:rPr>
                <w:b/>
              </w:rPr>
            </w:pPr>
            <w:r>
              <w:rPr>
                <w:rFonts w:hint="eastAsia"/>
                <w:b/>
              </w:rPr>
              <w:t>评估</w:t>
            </w:r>
            <w:r>
              <w:rPr>
                <w:b/>
              </w:rPr>
              <w:t>使用方法</w:t>
            </w:r>
          </w:p>
        </w:tc>
        <w:tc>
          <w:tcPr>
            <w:tcW w:w="2693" w:type="dxa"/>
          </w:tcPr>
          <w:p>
            <w:pPr>
              <w:spacing w:before="156" w:after="156"/>
              <w:jc w:val="center"/>
            </w:pPr>
            <w:r>
              <w:rPr>
                <w:rFonts w:hint="eastAsia" w:cs="MingLiU" w:asciiTheme="minorEastAsia" w:hAnsiTheme="minorEastAsia"/>
                <w:b/>
                <w:bCs/>
                <w:color w:val="000000"/>
                <w:kern w:val="0"/>
                <w:sz w:val="18"/>
                <w:szCs w:val="18"/>
              </w:rPr>
              <w:t>指标</w:t>
            </w:r>
            <w:r>
              <w:rPr>
                <w:rFonts w:cs="MingLiU" w:asciiTheme="minorEastAsia" w:hAnsiTheme="minorEastAsia"/>
                <w:b/>
                <w:bCs/>
                <w:color w:val="000000"/>
                <w:kern w:val="0"/>
                <w:sz w:val="18"/>
                <w:szCs w:val="18"/>
              </w:rPr>
              <w:t>权重加权求和法</w:t>
            </w:r>
          </w:p>
        </w:tc>
      </w:tr>
      <w:tr>
        <w:tblPrEx>
          <w:tblBorders>
            <w:top w:val="single" w:color="1F4E79" w:themeColor="accent1" w:themeShade="80" w:sz="18" w:space="0"/>
            <w:left w:val="single" w:color="1F4E79" w:themeColor="accent1" w:themeShade="80" w:sz="18" w:space="0"/>
            <w:bottom w:val="single" w:color="1F4E79" w:themeColor="accent1" w:themeShade="80" w:sz="18" w:space="0"/>
            <w:right w:val="single" w:color="1F4E79" w:themeColor="accent1" w:themeShade="80" w:sz="18" w:space="0"/>
            <w:insideH w:val="single" w:color="1F4E79" w:themeColor="accent1" w:themeShade="80" w:sz="18" w:space="0"/>
            <w:insideV w:val="single" w:color="1F4E79" w:themeColor="accent1" w:themeShade="80" w:sz="18" w:space="0"/>
          </w:tblBorders>
          <w:tblLayout w:type="fixed"/>
          <w:tblCellMar>
            <w:top w:w="0" w:type="dxa"/>
            <w:left w:w="108" w:type="dxa"/>
            <w:bottom w:w="0" w:type="dxa"/>
            <w:right w:w="108" w:type="dxa"/>
          </w:tblCellMar>
        </w:tblPrEx>
        <w:trPr>
          <w:trHeight w:val="414" w:hRule="atLeast"/>
          <w:jc w:val="center"/>
        </w:trPr>
        <w:tc>
          <w:tcPr>
            <w:tcW w:w="1696" w:type="dxa"/>
            <w:vAlign w:val="center"/>
          </w:tcPr>
          <w:p>
            <w:pPr>
              <w:spacing w:before="156" w:after="156"/>
              <w:jc w:val="center"/>
              <w:rPr>
                <w:b/>
                <w:bCs/>
              </w:rPr>
            </w:pPr>
            <w:r>
              <w:rPr>
                <w:rFonts w:hint="eastAsia"/>
                <w:b/>
                <w:bCs/>
              </w:rPr>
              <w:t>权重确定</w:t>
            </w:r>
            <w:r>
              <w:rPr>
                <w:b/>
                <w:bCs/>
              </w:rPr>
              <w:t>方法</w:t>
            </w:r>
          </w:p>
        </w:tc>
        <w:tc>
          <w:tcPr>
            <w:tcW w:w="6237" w:type="dxa"/>
            <w:gridSpan w:val="3"/>
          </w:tcPr>
          <w:p>
            <w:pPr>
              <w:spacing w:before="156" w:after="156"/>
              <w:jc w:val="center"/>
              <w:rPr>
                <w:rFonts w:cs="MingLiU" w:asciiTheme="minorEastAsia" w:hAnsiTheme="minorEastAsia"/>
                <w:bCs/>
                <w:color w:val="000000"/>
                <w:kern w:val="0"/>
                <w:sz w:val="18"/>
                <w:szCs w:val="18"/>
              </w:rPr>
            </w:pPr>
            <w:r>
              <w:rPr>
                <w:rFonts w:hint="eastAsia" w:cs="MingLiU" w:asciiTheme="minorEastAsia" w:hAnsiTheme="minorEastAsia"/>
                <w:bCs/>
                <w:color w:val="000000"/>
                <w:kern w:val="0"/>
                <w:sz w:val="18"/>
                <w:szCs w:val="18"/>
              </w:rPr>
              <w:t>变异</w:t>
            </w:r>
            <w:r>
              <w:rPr>
                <w:rFonts w:cs="MingLiU" w:asciiTheme="minorEastAsia" w:hAnsiTheme="minorEastAsia"/>
                <w:bCs/>
                <w:color w:val="000000"/>
                <w:kern w:val="0"/>
                <w:sz w:val="18"/>
                <w:szCs w:val="18"/>
              </w:rPr>
              <w:t>系数法</w:t>
            </w:r>
          </w:p>
        </w:tc>
      </w:tr>
      <w:tr>
        <w:tblPrEx>
          <w:tblBorders>
            <w:top w:val="single" w:color="1F4E79" w:themeColor="accent1" w:themeShade="80" w:sz="18" w:space="0"/>
            <w:left w:val="single" w:color="1F4E79" w:themeColor="accent1" w:themeShade="80" w:sz="18" w:space="0"/>
            <w:bottom w:val="single" w:color="1F4E79" w:themeColor="accent1" w:themeShade="80" w:sz="18" w:space="0"/>
            <w:right w:val="single" w:color="1F4E79" w:themeColor="accent1" w:themeShade="80" w:sz="18" w:space="0"/>
            <w:insideH w:val="single" w:color="1F4E79" w:themeColor="accent1" w:themeShade="80" w:sz="18" w:space="0"/>
            <w:insideV w:val="single" w:color="1F4E79" w:themeColor="accent1" w:themeShade="80" w:sz="18" w:space="0"/>
          </w:tblBorders>
          <w:tblLayout w:type="fixed"/>
          <w:tblCellMar>
            <w:top w:w="0" w:type="dxa"/>
            <w:left w:w="108" w:type="dxa"/>
            <w:bottom w:w="0" w:type="dxa"/>
            <w:right w:w="108" w:type="dxa"/>
          </w:tblCellMar>
        </w:tblPrEx>
        <w:trPr>
          <w:jc w:val="center"/>
        </w:trPr>
        <w:tc>
          <w:tcPr>
            <w:tcW w:w="1696" w:type="dxa"/>
            <w:vAlign w:val="center"/>
          </w:tcPr>
          <w:p>
            <w:pPr>
              <w:spacing w:before="156" w:after="156"/>
              <w:jc w:val="center"/>
              <w:rPr>
                <w:b/>
                <w:bCs/>
              </w:rPr>
            </w:pPr>
            <w:r>
              <w:rPr>
                <w:rFonts w:hint="eastAsia"/>
                <w:b/>
                <w:bCs/>
              </w:rPr>
              <w:t>备注</w:t>
            </w:r>
          </w:p>
        </w:tc>
        <w:tc>
          <w:tcPr>
            <w:tcW w:w="6237" w:type="dxa"/>
            <w:gridSpan w:val="3"/>
          </w:tcPr>
          <w:p>
            <w:pPr>
              <w:spacing w:before="156" w:after="156"/>
              <w:rPr>
                <w:b/>
              </w:rPr>
            </w:pPr>
            <w:r>
              <w:rPr>
                <w:rFonts w:hint="eastAsia"/>
                <w:b/>
              </w:rPr>
              <w:t>1、数据</w:t>
            </w:r>
            <w:r>
              <w:rPr>
                <w:b/>
              </w:rPr>
              <w:t>量化说明</w:t>
            </w:r>
          </w:p>
          <w:p>
            <w:pPr>
              <w:spacing w:before="156" w:after="156"/>
              <w:ind w:firstLine="270" w:firstLineChars="150"/>
              <w:rPr>
                <w:rFonts w:asciiTheme="minorEastAsia" w:hAnsiTheme="minorEastAsia"/>
                <w:color w:val="000000" w:themeColor="text1"/>
                <w:sz w:val="18"/>
                <w:szCs w:val="18"/>
                <w:lang w:val="zh-CN"/>
                <w14:textFill>
                  <w14:solidFill>
                    <w14:schemeClr w14:val="tx1"/>
                  </w14:solidFill>
                </w14:textFill>
              </w:rPr>
            </w:pPr>
            <w:r>
              <w:rPr>
                <w:rFonts w:hint="eastAsia" w:asciiTheme="minorEastAsia" w:hAnsiTheme="minorEastAsia"/>
                <w:color w:val="000000" w:themeColor="text1"/>
                <w:sz w:val="18"/>
                <w:szCs w:val="18"/>
                <w:lang w:val="zh-CN"/>
                <w14:textFill>
                  <w14:solidFill>
                    <w14:schemeClr w14:val="tx1"/>
                  </w14:solidFill>
                </w14:textFill>
              </w:rPr>
              <w:t>非常</w:t>
            </w:r>
            <w:r>
              <w:rPr>
                <w:rFonts w:asciiTheme="minorEastAsia" w:hAnsiTheme="minorEastAsia"/>
                <w:color w:val="000000" w:themeColor="text1"/>
                <w:sz w:val="18"/>
                <w:szCs w:val="18"/>
                <w:lang w:val="zh-CN"/>
                <w14:textFill>
                  <w14:solidFill>
                    <w14:schemeClr w14:val="tx1"/>
                  </w14:solidFill>
                </w14:textFill>
              </w:rPr>
              <w:t>满意=5</w:t>
            </w:r>
            <w:r>
              <w:rPr>
                <w:rFonts w:hint="eastAsia" w:asciiTheme="minorEastAsia" w:hAnsiTheme="minorEastAsia"/>
                <w:color w:val="000000" w:themeColor="text1"/>
                <w:sz w:val="18"/>
                <w:szCs w:val="18"/>
                <w:lang w:val="zh-CN"/>
                <w14:textFill>
                  <w14:solidFill>
                    <w14:schemeClr w14:val="tx1"/>
                  </w14:solidFill>
                </w14:textFill>
              </w:rPr>
              <w:t>；</w:t>
            </w:r>
            <w:r>
              <w:rPr>
                <w:rFonts w:asciiTheme="minorEastAsia" w:hAnsiTheme="minorEastAsia"/>
                <w:color w:val="000000" w:themeColor="text1"/>
                <w:sz w:val="18"/>
                <w:szCs w:val="18"/>
                <w:lang w:val="zh-CN"/>
                <w14:textFill>
                  <w14:solidFill>
                    <w14:schemeClr w14:val="tx1"/>
                  </w14:solidFill>
                </w14:textFill>
              </w:rPr>
              <w:t>满意=4</w:t>
            </w:r>
            <w:r>
              <w:rPr>
                <w:rFonts w:hint="eastAsia" w:asciiTheme="minorEastAsia" w:hAnsiTheme="minorEastAsia"/>
                <w:color w:val="000000" w:themeColor="text1"/>
                <w:sz w:val="18"/>
                <w:szCs w:val="18"/>
                <w:lang w:val="zh-CN"/>
                <w14:textFill>
                  <w14:solidFill>
                    <w14:schemeClr w14:val="tx1"/>
                  </w14:solidFill>
                </w14:textFill>
              </w:rPr>
              <w:t>；比较</w:t>
            </w:r>
            <w:r>
              <w:rPr>
                <w:rFonts w:asciiTheme="minorEastAsia" w:hAnsiTheme="minorEastAsia"/>
                <w:color w:val="000000" w:themeColor="text1"/>
                <w:sz w:val="18"/>
                <w:szCs w:val="18"/>
                <w:lang w:val="zh-CN"/>
                <w14:textFill>
                  <w14:solidFill>
                    <w14:schemeClr w14:val="tx1"/>
                  </w14:solidFill>
                </w14:textFill>
              </w:rPr>
              <w:t>满意=3</w:t>
            </w:r>
            <w:r>
              <w:rPr>
                <w:rFonts w:hint="eastAsia" w:asciiTheme="minorEastAsia" w:hAnsiTheme="minorEastAsia"/>
                <w:color w:val="000000" w:themeColor="text1"/>
                <w:sz w:val="18"/>
                <w:szCs w:val="18"/>
                <w:lang w:val="zh-CN"/>
                <w14:textFill>
                  <w14:solidFill>
                    <w14:schemeClr w14:val="tx1"/>
                  </w14:solidFill>
                </w14:textFill>
              </w:rPr>
              <w:t>；</w:t>
            </w:r>
            <w:r>
              <w:rPr>
                <w:rFonts w:asciiTheme="minorEastAsia" w:hAnsiTheme="minorEastAsia"/>
                <w:color w:val="000000" w:themeColor="text1"/>
                <w:sz w:val="18"/>
                <w:szCs w:val="18"/>
                <w:lang w:val="zh-CN"/>
                <w14:textFill>
                  <w14:solidFill>
                    <w14:schemeClr w14:val="tx1"/>
                  </w14:solidFill>
                </w14:textFill>
              </w:rPr>
              <w:t>不太满意=2</w:t>
            </w:r>
            <w:r>
              <w:rPr>
                <w:rFonts w:hint="eastAsia" w:asciiTheme="minorEastAsia" w:hAnsiTheme="minorEastAsia"/>
                <w:color w:val="000000" w:themeColor="text1"/>
                <w:sz w:val="18"/>
                <w:szCs w:val="18"/>
                <w:lang w:val="zh-CN"/>
                <w14:textFill>
                  <w14:solidFill>
                    <w14:schemeClr w14:val="tx1"/>
                  </w14:solidFill>
                </w14:textFill>
              </w:rPr>
              <w:t>；</w:t>
            </w:r>
            <w:r>
              <w:rPr>
                <w:rFonts w:asciiTheme="minorEastAsia" w:hAnsiTheme="minorEastAsia"/>
                <w:color w:val="000000" w:themeColor="text1"/>
                <w:sz w:val="18"/>
                <w:szCs w:val="18"/>
                <w:lang w:val="zh-CN"/>
                <w14:textFill>
                  <w14:solidFill>
                    <w14:schemeClr w14:val="tx1"/>
                  </w14:solidFill>
                </w14:textFill>
              </w:rPr>
              <w:t>很不满意=1</w:t>
            </w:r>
            <w:r>
              <w:rPr>
                <w:rFonts w:hint="eastAsia" w:asciiTheme="minorEastAsia" w:hAnsiTheme="minorEastAsia"/>
                <w:color w:val="000000" w:themeColor="text1"/>
                <w:sz w:val="18"/>
                <w:szCs w:val="18"/>
                <w:lang w:val="zh-CN"/>
                <w14:textFill>
                  <w14:solidFill>
                    <w14:schemeClr w14:val="tx1"/>
                  </w14:solidFill>
                </w14:textFill>
              </w:rPr>
              <w:t>，</w:t>
            </w:r>
          </w:p>
          <w:p>
            <w:pPr>
              <w:spacing w:before="156" w:after="156"/>
              <w:rPr>
                <w:b/>
              </w:rPr>
            </w:pPr>
            <w:r>
              <w:rPr>
                <w:rFonts w:hint="eastAsia" w:asciiTheme="minorEastAsia" w:hAnsiTheme="minorEastAsia"/>
                <w:b/>
                <w:color w:val="000000" w:themeColor="text1"/>
                <w:sz w:val="18"/>
                <w:szCs w:val="18"/>
                <w:lang w:val="zh-CN"/>
                <w14:textFill>
                  <w14:solidFill>
                    <w14:schemeClr w14:val="tx1"/>
                  </w14:solidFill>
                </w14:textFill>
              </w:rPr>
              <w:t>2、</w:t>
            </w:r>
            <w:r>
              <w:rPr>
                <w:rFonts w:asciiTheme="minorEastAsia" w:hAnsiTheme="minorEastAsia"/>
                <w:b/>
                <w:color w:val="000000" w:themeColor="text1"/>
                <w:sz w:val="18"/>
                <w:szCs w:val="18"/>
                <w:lang w:val="zh-CN"/>
                <w14:textFill>
                  <w14:solidFill>
                    <w14:schemeClr w14:val="tx1"/>
                  </w14:solidFill>
                </w14:textFill>
              </w:rPr>
              <w:t>参与评估指标</w:t>
            </w:r>
          </w:p>
          <w:p>
            <w:pPr>
              <w:spacing w:before="156" w:after="156"/>
              <w:rPr>
                <w:rFonts w:asciiTheme="minorEastAsia" w:hAnsiTheme="minorEastAsia"/>
                <w:color w:val="000000" w:themeColor="text1"/>
                <w:sz w:val="18"/>
                <w:szCs w:val="18"/>
                <w:lang w:val="zh-CN"/>
                <w14:textFill>
                  <w14:solidFill>
                    <w14:schemeClr w14:val="tx1"/>
                  </w14:solidFill>
                </w14:textFill>
              </w:rPr>
            </w:pPr>
            <w:r>
              <w:rPr>
                <w:rFonts w:hint="eastAsia" w:asciiTheme="minorEastAsia" w:hAnsiTheme="minorEastAsia"/>
                <w:color w:val="000000" w:themeColor="text1"/>
                <w:sz w:val="18"/>
                <w:szCs w:val="18"/>
                <w:lang w:val="zh-CN"/>
                <w14:textFill>
                  <w14:solidFill>
                    <w14:schemeClr w14:val="tx1"/>
                  </w14:solidFill>
                </w14:textFill>
              </w:rPr>
              <w:t>已签约单位的行业发展有前景（Z1）</w:t>
            </w:r>
          </w:p>
          <w:p>
            <w:pPr>
              <w:spacing w:before="156" w:after="156"/>
              <w:rPr>
                <w:rFonts w:asciiTheme="minorEastAsia" w:hAnsiTheme="minorEastAsia"/>
                <w:color w:val="000000" w:themeColor="text1"/>
                <w:sz w:val="18"/>
                <w:szCs w:val="18"/>
                <w:lang w:val="zh-CN"/>
                <w14:textFill>
                  <w14:solidFill>
                    <w14:schemeClr w14:val="tx1"/>
                  </w14:solidFill>
                </w14:textFill>
              </w:rPr>
            </w:pPr>
            <w:r>
              <w:rPr>
                <w:rFonts w:hint="eastAsia" w:asciiTheme="minorEastAsia" w:hAnsiTheme="minorEastAsia"/>
                <w:color w:val="000000" w:themeColor="text1"/>
                <w:sz w:val="18"/>
                <w:szCs w:val="18"/>
                <w:lang w:val="zh-CN"/>
                <w14:textFill>
                  <w14:solidFill>
                    <w14:schemeClr w14:val="tx1"/>
                  </w14:solidFill>
                </w14:textFill>
              </w:rPr>
              <w:t>公司业界的知名度和社会认可度（Z</w:t>
            </w:r>
            <w:r>
              <w:rPr>
                <w:rFonts w:asciiTheme="minorEastAsia" w:hAnsiTheme="minorEastAsia"/>
                <w:color w:val="000000" w:themeColor="text1"/>
                <w:sz w:val="18"/>
                <w:szCs w:val="18"/>
                <w:lang w:val="zh-CN"/>
                <w14:textFill>
                  <w14:solidFill>
                    <w14:schemeClr w14:val="tx1"/>
                  </w14:solidFill>
                </w14:textFill>
              </w:rPr>
              <w:t>2</w:t>
            </w:r>
            <w:r>
              <w:rPr>
                <w:rFonts w:hint="eastAsia" w:asciiTheme="minorEastAsia" w:hAnsiTheme="minorEastAsia"/>
                <w:color w:val="000000" w:themeColor="text1"/>
                <w:sz w:val="18"/>
                <w:szCs w:val="18"/>
                <w:lang w:val="zh-CN"/>
                <w14:textFill>
                  <w14:solidFill>
                    <w14:schemeClr w14:val="tx1"/>
                  </w14:solidFill>
                </w14:textFill>
              </w:rPr>
              <w:t>）</w:t>
            </w:r>
          </w:p>
          <w:p>
            <w:pPr>
              <w:spacing w:before="156" w:after="156"/>
              <w:rPr>
                <w:rFonts w:asciiTheme="minorEastAsia" w:hAnsiTheme="minorEastAsia"/>
                <w:color w:val="000000" w:themeColor="text1"/>
                <w:sz w:val="18"/>
                <w:szCs w:val="18"/>
                <w:lang w:val="zh-CN"/>
                <w14:textFill>
                  <w14:solidFill>
                    <w14:schemeClr w14:val="tx1"/>
                  </w14:solidFill>
                </w14:textFill>
              </w:rPr>
            </w:pPr>
            <w:r>
              <w:rPr>
                <w:rFonts w:hint="eastAsia" w:asciiTheme="minorEastAsia" w:hAnsiTheme="minorEastAsia"/>
                <w:color w:val="000000" w:themeColor="text1"/>
                <w:sz w:val="18"/>
                <w:szCs w:val="18"/>
                <w:lang w:val="zh-CN"/>
                <w14:textFill>
                  <w14:solidFill>
                    <w14:schemeClr w14:val="tx1"/>
                  </w14:solidFill>
                </w14:textFill>
              </w:rPr>
              <w:t xml:space="preserve">工作单位前途评价（Z3）    </w:t>
            </w:r>
            <w:r>
              <w:rPr>
                <w:rFonts w:asciiTheme="minorEastAsia" w:hAnsiTheme="minorEastAsia"/>
                <w:color w:val="000000" w:themeColor="text1"/>
                <w:sz w:val="18"/>
                <w:szCs w:val="18"/>
                <w:lang w:val="zh-CN"/>
                <w14:textFill>
                  <w14:solidFill>
                    <w14:schemeClr w14:val="tx1"/>
                  </w14:solidFill>
                </w14:textFill>
              </w:rPr>
              <w:t xml:space="preserve">    </w:t>
            </w:r>
            <w:r>
              <w:rPr>
                <w:rFonts w:hint="eastAsia" w:asciiTheme="minorEastAsia" w:hAnsiTheme="minorEastAsia"/>
                <w:color w:val="000000" w:themeColor="text1"/>
                <w:sz w:val="18"/>
                <w:szCs w:val="18"/>
                <w:lang w:val="zh-CN"/>
                <w14:textFill>
                  <w14:solidFill>
                    <w14:schemeClr w14:val="tx1"/>
                  </w14:solidFill>
                </w14:textFill>
              </w:rPr>
              <w:t xml:space="preserve"> 工作与专业相关度（Z4）</w:t>
            </w:r>
          </w:p>
          <w:p>
            <w:pPr>
              <w:spacing w:before="156" w:after="156"/>
              <w:rPr>
                <w:rFonts w:asciiTheme="minorEastAsia" w:hAnsiTheme="minorEastAsia"/>
                <w:color w:val="000000" w:themeColor="text1"/>
                <w:sz w:val="18"/>
                <w:szCs w:val="18"/>
                <w:lang w:val="zh-CN"/>
                <w14:textFill>
                  <w14:solidFill>
                    <w14:schemeClr w14:val="tx1"/>
                  </w14:solidFill>
                </w14:textFill>
              </w:rPr>
            </w:pPr>
            <w:r>
              <w:rPr>
                <w:rFonts w:hint="eastAsia" w:asciiTheme="minorEastAsia" w:hAnsiTheme="minorEastAsia"/>
                <w:color w:val="000000" w:themeColor="text1"/>
                <w:sz w:val="18"/>
                <w:szCs w:val="18"/>
                <w:lang w:val="zh-CN"/>
                <w14:textFill>
                  <w14:solidFill>
                    <w14:schemeClr w14:val="tx1"/>
                  </w14:solidFill>
                </w14:textFill>
              </w:rPr>
              <w:t>工作与理想职业一致性（Z5）     薪资评价（Z6）</w:t>
            </w:r>
          </w:p>
          <w:p>
            <w:pPr>
              <w:spacing w:before="156" w:after="156"/>
              <w:rPr>
                <w:rFonts w:asciiTheme="minorEastAsia" w:hAnsiTheme="minorEastAsia"/>
                <w:color w:val="000000" w:themeColor="text1"/>
                <w:sz w:val="18"/>
                <w:szCs w:val="18"/>
                <w:lang w:val="zh-CN"/>
                <w14:textFill>
                  <w14:solidFill>
                    <w14:schemeClr w14:val="tx1"/>
                  </w14:solidFill>
                </w14:textFill>
              </w:rPr>
            </w:pPr>
            <w:r>
              <w:rPr>
                <w:rFonts w:hint="eastAsia" w:asciiTheme="minorEastAsia" w:hAnsiTheme="minorEastAsia"/>
                <w:color w:val="000000" w:themeColor="text1"/>
                <w:sz w:val="18"/>
                <w:szCs w:val="18"/>
                <w:lang w:val="zh-CN"/>
                <w14:textFill>
                  <w14:solidFill>
                    <w14:schemeClr w14:val="tx1"/>
                  </w14:solidFill>
                </w14:textFill>
              </w:rPr>
              <w:t>福利和社会保障评价（Z7）       工作环境评价（Z8）</w:t>
            </w:r>
          </w:p>
          <w:p>
            <w:pPr>
              <w:spacing w:before="156" w:after="156"/>
              <w:rPr>
                <w:rFonts w:asciiTheme="minorEastAsia" w:hAnsiTheme="minorEastAsia"/>
                <w:color w:val="000000" w:themeColor="text1"/>
                <w:sz w:val="18"/>
                <w:szCs w:val="18"/>
                <w:lang w:val="zh-CN"/>
                <w14:textFill>
                  <w14:solidFill>
                    <w14:schemeClr w14:val="tx1"/>
                  </w14:solidFill>
                </w14:textFill>
              </w:rPr>
            </w:pPr>
            <w:r>
              <w:rPr>
                <w:rFonts w:hint="eastAsia" w:asciiTheme="minorEastAsia" w:hAnsiTheme="minorEastAsia"/>
                <w:color w:val="000000" w:themeColor="text1"/>
                <w:sz w:val="18"/>
                <w:szCs w:val="18"/>
                <w:lang w:val="zh-CN"/>
                <w14:textFill>
                  <w14:solidFill>
                    <w14:schemeClr w14:val="tx1"/>
                  </w14:solidFill>
                </w14:textFill>
              </w:rPr>
              <w:t>工作稳性评价（Z9）             单位培训机会评价（Z1</w:t>
            </w:r>
            <w:r>
              <w:rPr>
                <w:rFonts w:asciiTheme="minorEastAsia" w:hAnsiTheme="minorEastAsia"/>
                <w:color w:val="000000" w:themeColor="text1"/>
                <w:sz w:val="18"/>
                <w:szCs w:val="18"/>
                <w:lang w:val="zh-CN"/>
                <w14:textFill>
                  <w14:solidFill>
                    <w14:schemeClr w14:val="tx1"/>
                  </w14:solidFill>
                </w14:textFill>
              </w:rPr>
              <w:t>0</w:t>
            </w:r>
            <w:r>
              <w:rPr>
                <w:rFonts w:hint="eastAsia" w:asciiTheme="minorEastAsia" w:hAnsiTheme="minorEastAsia"/>
                <w:color w:val="000000" w:themeColor="text1"/>
                <w:sz w:val="18"/>
                <w:szCs w:val="18"/>
                <w:lang w:val="zh-CN"/>
                <w14:textFill>
                  <w14:solidFill>
                    <w14:schemeClr w14:val="tx1"/>
                  </w14:solidFill>
                </w14:textFill>
              </w:rPr>
              <w:t>）</w:t>
            </w:r>
          </w:p>
          <w:p>
            <w:pPr>
              <w:spacing w:before="156" w:after="156"/>
              <w:rPr>
                <w:rFonts w:asciiTheme="minorEastAsia" w:hAnsiTheme="minorEastAsia"/>
                <w:color w:val="000000" w:themeColor="text1"/>
                <w:sz w:val="18"/>
                <w:szCs w:val="18"/>
                <w:lang w:val="zh-CN"/>
                <w14:textFill>
                  <w14:solidFill>
                    <w14:schemeClr w14:val="tx1"/>
                  </w14:solidFill>
                </w14:textFill>
              </w:rPr>
            </w:pPr>
            <w:r>
              <w:rPr>
                <w:rFonts w:hint="eastAsia" w:asciiTheme="minorEastAsia" w:hAnsiTheme="minorEastAsia"/>
                <w:color w:val="000000" w:themeColor="text1"/>
                <w:sz w:val="18"/>
                <w:szCs w:val="18"/>
                <w:lang w:val="zh-CN"/>
                <w14:textFill>
                  <w14:solidFill>
                    <w14:schemeClr w14:val="tx1"/>
                  </w14:solidFill>
                </w14:textFill>
              </w:rPr>
              <w:t>加班评价（Z1</w:t>
            </w:r>
            <w:r>
              <w:rPr>
                <w:rFonts w:asciiTheme="minorEastAsia" w:hAnsiTheme="minorEastAsia"/>
                <w:color w:val="000000" w:themeColor="text1"/>
                <w:sz w:val="18"/>
                <w:szCs w:val="18"/>
                <w:lang w:val="zh-CN"/>
                <w14:textFill>
                  <w14:solidFill>
                    <w14:schemeClr w14:val="tx1"/>
                  </w14:solidFill>
                </w14:textFill>
              </w:rPr>
              <w:t>1</w:t>
            </w:r>
            <w:r>
              <w:rPr>
                <w:rFonts w:hint="eastAsia" w:asciiTheme="minorEastAsia" w:hAnsiTheme="minorEastAsia"/>
                <w:color w:val="000000" w:themeColor="text1"/>
                <w:sz w:val="18"/>
                <w:szCs w:val="18"/>
                <w:lang w:val="zh-CN"/>
                <w14:textFill>
                  <w14:solidFill>
                    <w14:schemeClr w14:val="tx1"/>
                  </w14:solidFill>
                </w14:textFill>
              </w:rPr>
              <w:t>）                工作岗位满意度（Z1</w:t>
            </w:r>
            <w:r>
              <w:rPr>
                <w:rFonts w:asciiTheme="minorEastAsia" w:hAnsiTheme="minorEastAsia"/>
                <w:color w:val="000000" w:themeColor="text1"/>
                <w:sz w:val="18"/>
                <w:szCs w:val="18"/>
                <w:lang w:val="zh-CN"/>
                <w14:textFill>
                  <w14:solidFill>
                    <w14:schemeClr w14:val="tx1"/>
                  </w14:solidFill>
                </w14:textFill>
              </w:rPr>
              <w:t>2</w:t>
            </w:r>
            <w:r>
              <w:rPr>
                <w:rFonts w:hint="eastAsia" w:asciiTheme="minorEastAsia" w:hAnsiTheme="minorEastAsia"/>
                <w:color w:val="000000" w:themeColor="text1"/>
                <w:sz w:val="18"/>
                <w:szCs w:val="18"/>
                <w:lang w:val="zh-CN"/>
                <w14:textFill>
                  <w14:solidFill>
                    <w14:schemeClr w14:val="tx1"/>
                  </w14:solidFill>
                </w14:textFill>
              </w:rPr>
              <w:t>）</w:t>
            </w:r>
          </w:p>
          <w:p>
            <w:pPr>
              <w:spacing w:before="156" w:after="156"/>
              <w:rPr>
                <w:rFonts w:asciiTheme="minorEastAsia" w:hAnsiTheme="minorEastAsia"/>
                <w:color w:val="000000" w:themeColor="text1"/>
                <w:sz w:val="18"/>
                <w:szCs w:val="18"/>
                <w:lang w:val="zh-CN"/>
                <w14:textFill>
                  <w14:solidFill>
                    <w14:schemeClr w14:val="tx1"/>
                  </w14:solidFill>
                </w14:textFill>
              </w:rPr>
            </w:pPr>
            <w:r>
              <w:rPr>
                <w:rFonts w:hint="eastAsia" w:asciiTheme="minorEastAsia" w:hAnsiTheme="minorEastAsia"/>
                <w:color w:val="000000" w:themeColor="text1"/>
                <w:sz w:val="18"/>
                <w:szCs w:val="18"/>
                <w:lang w:val="zh-CN"/>
                <w14:textFill>
                  <w14:solidFill>
                    <w14:schemeClr w14:val="tx1"/>
                  </w14:solidFill>
                </w14:textFill>
              </w:rPr>
              <w:t>工作岗位适应状态（Z1</w:t>
            </w:r>
            <w:r>
              <w:rPr>
                <w:rFonts w:asciiTheme="minorEastAsia" w:hAnsiTheme="minorEastAsia"/>
                <w:color w:val="000000" w:themeColor="text1"/>
                <w:sz w:val="18"/>
                <w:szCs w:val="18"/>
                <w:lang w:val="zh-CN"/>
                <w14:textFill>
                  <w14:solidFill>
                    <w14:schemeClr w14:val="tx1"/>
                  </w14:solidFill>
                </w14:textFill>
              </w:rPr>
              <w:t>3</w:t>
            </w:r>
            <w:r>
              <w:rPr>
                <w:rFonts w:hint="eastAsia" w:asciiTheme="minorEastAsia" w:hAnsiTheme="minorEastAsia"/>
                <w:color w:val="000000" w:themeColor="text1"/>
                <w:sz w:val="18"/>
                <w:szCs w:val="18"/>
                <w:lang w:val="zh-CN"/>
                <w14:textFill>
                  <w14:solidFill>
                    <w14:schemeClr w14:val="tx1"/>
                  </w14:solidFill>
                </w14:textFill>
              </w:rPr>
              <w:t>）        工作岗位晋升机制（Z1</w:t>
            </w:r>
            <w:r>
              <w:rPr>
                <w:rFonts w:asciiTheme="minorEastAsia" w:hAnsiTheme="minorEastAsia"/>
                <w:color w:val="000000" w:themeColor="text1"/>
                <w:sz w:val="18"/>
                <w:szCs w:val="18"/>
                <w:lang w:val="zh-CN"/>
                <w14:textFill>
                  <w14:solidFill>
                    <w14:schemeClr w14:val="tx1"/>
                  </w14:solidFill>
                </w14:textFill>
              </w:rPr>
              <w:t>4</w:t>
            </w:r>
            <w:r>
              <w:rPr>
                <w:rFonts w:hint="eastAsia" w:asciiTheme="minorEastAsia" w:hAnsiTheme="minorEastAsia"/>
                <w:color w:val="000000" w:themeColor="text1"/>
                <w:sz w:val="18"/>
                <w:szCs w:val="18"/>
                <w:lang w:val="zh-CN"/>
                <w14:textFill>
                  <w14:solidFill>
                    <w14:schemeClr w14:val="tx1"/>
                  </w14:solidFill>
                </w14:textFill>
              </w:rPr>
              <w:t>）</w:t>
            </w:r>
          </w:p>
          <w:p>
            <w:pPr>
              <w:spacing w:before="156" w:after="156"/>
              <w:rPr>
                <w:rFonts w:asciiTheme="minorEastAsia" w:hAnsiTheme="minorEastAsia"/>
                <w:color w:val="000000" w:themeColor="text1"/>
                <w:sz w:val="18"/>
                <w:szCs w:val="18"/>
                <w:lang w:val="zh-CN"/>
                <w14:textFill>
                  <w14:solidFill>
                    <w14:schemeClr w14:val="tx1"/>
                  </w14:solidFill>
                </w14:textFill>
              </w:rPr>
            </w:pPr>
            <w:r>
              <w:rPr>
                <w:rFonts w:hint="eastAsia" w:asciiTheme="minorEastAsia" w:hAnsiTheme="minorEastAsia"/>
                <w:color w:val="000000" w:themeColor="text1"/>
                <w:sz w:val="18"/>
                <w:szCs w:val="18"/>
                <w:lang w:val="zh-CN"/>
                <w14:textFill>
                  <w14:solidFill>
                    <w14:schemeClr w14:val="tx1"/>
                  </w14:solidFill>
                </w14:textFill>
              </w:rPr>
              <w:t>整体工作</w:t>
            </w:r>
            <w:r>
              <w:rPr>
                <w:rFonts w:asciiTheme="minorEastAsia" w:hAnsiTheme="minorEastAsia"/>
                <w:color w:val="000000" w:themeColor="text1"/>
                <w:sz w:val="18"/>
                <w:szCs w:val="18"/>
                <w:lang w:val="zh-CN"/>
                <w14:textFill>
                  <w14:solidFill>
                    <w14:schemeClr w14:val="tx1"/>
                  </w14:solidFill>
                </w14:textFill>
              </w:rPr>
              <w:t>满意度（</w:t>
            </w:r>
            <w:r>
              <w:rPr>
                <w:rFonts w:hint="eastAsia" w:asciiTheme="minorEastAsia" w:hAnsiTheme="minorEastAsia"/>
                <w:color w:val="000000" w:themeColor="text1"/>
                <w:sz w:val="18"/>
                <w:szCs w:val="18"/>
                <w:lang w:val="zh-CN"/>
                <w14:textFill>
                  <w14:solidFill>
                    <w14:schemeClr w14:val="tx1"/>
                  </w14:solidFill>
                </w14:textFill>
              </w:rPr>
              <w:t>Y</w:t>
            </w:r>
            <w:r>
              <w:rPr>
                <w:rFonts w:asciiTheme="minorEastAsia" w:hAnsiTheme="minorEastAsia"/>
                <w:color w:val="000000" w:themeColor="text1"/>
                <w:sz w:val="18"/>
                <w:szCs w:val="18"/>
                <w:lang w:val="zh-CN"/>
                <w14:textFill>
                  <w14:solidFill>
                    <w14:schemeClr w14:val="tx1"/>
                  </w14:solidFill>
                </w14:textFill>
              </w:rPr>
              <w:t>）</w:t>
            </w:r>
          </w:p>
        </w:tc>
      </w:tr>
    </w:tbl>
    <w:p/>
    <w:p>
      <w:pPr>
        <w:pStyle w:val="33"/>
      </w:pPr>
      <w:bookmarkStart w:id="138" w:name="_Toc469038357"/>
      <w:r>
        <w:rPr>
          <w:rFonts w:hint="eastAsia"/>
        </w:rPr>
        <w:t>2</w:t>
      </w:r>
      <w:r>
        <w:t>.</w:t>
      </w:r>
      <w:r>
        <w:rPr>
          <w:rFonts w:hint="eastAsia"/>
        </w:rPr>
        <w:t>评估结果</w:t>
      </w:r>
      <w:bookmarkEnd w:id="138"/>
    </w:p>
    <w:p>
      <w:pPr>
        <w:pStyle w:val="8"/>
        <w:jc w:val="center"/>
        <w:rPr>
          <w:rFonts w:asciiTheme="minorEastAsia" w:hAnsiTheme="minorEastAsia" w:eastAsiaTheme="minorEastAsia"/>
          <w:sz w:val="18"/>
          <w:szCs w:val="18"/>
        </w:rPr>
      </w:pPr>
      <w:bookmarkStart w:id="139" w:name="_Toc470886981"/>
      <w:r>
        <w:rPr>
          <w:rFonts w:hint="eastAsia" w:asciiTheme="minorEastAsia" w:hAnsiTheme="minorEastAsia" w:eastAsiaTheme="minorEastAsia"/>
          <w:sz w:val="18"/>
          <w:szCs w:val="18"/>
        </w:rPr>
        <w:t>表3-</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表3-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4</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cs="宋体" w:asciiTheme="minorEastAsia" w:hAnsiTheme="minorEastAsia" w:eastAsiaTheme="minorEastAsia"/>
          <w:bCs/>
          <w:color w:val="000000"/>
          <w:kern w:val="0"/>
          <w:sz w:val="18"/>
          <w:szCs w:val="18"/>
        </w:rPr>
        <w:t>评估流程</w:t>
      </w:r>
      <w:r>
        <w:rPr>
          <w:rFonts w:cs="宋体" w:asciiTheme="minorEastAsia" w:hAnsiTheme="minorEastAsia" w:eastAsiaTheme="minorEastAsia"/>
          <w:bCs/>
          <w:color w:val="000000"/>
          <w:kern w:val="0"/>
          <w:sz w:val="18"/>
          <w:szCs w:val="18"/>
        </w:rPr>
        <w:t>表</w:t>
      </w:r>
      <w:bookmarkEnd w:id="139"/>
    </w:p>
    <w:tbl>
      <w:tblPr>
        <w:tblStyle w:val="2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3"/>
        <w:gridCol w:w="1072"/>
        <w:gridCol w:w="1072"/>
        <w:gridCol w:w="1072"/>
        <w:gridCol w:w="1072"/>
        <w:gridCol w:w="715"/>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183" w:type="dxa"/>
            <w:vMerge w:val="restart"/>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评估指标</w:t>
            </w:r>
          </w:p>
        </w:tc>
        <w:tc>
          <w:tcPr>
            <w:tcW w:w="2144" w:type="dxa"/>
            <w:gridSpan w:val="2"/>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平均值(E)</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标准偏差</w:t>
            </w:r>
          </w:p>
        </w:tc>
        <w:tc>
          <w:tcPr>
            <w:tcW w:w="1787" w:type="dxa"/>
            <w:gridSpan w:val="2"/>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权重求解</w:t>
            </w:r>
          </w:p>
        </w:tc>
        <w:tc>
          <w:tcPr>
            <w:tcW w:w="1110" w:type="dxa"/>
            <w:vMerge w:val="restart"/>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权重排名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183" w:type="dxa"/>
            <w:vMerge w:val="continue"/>
            <w:vAlign w:val="center"/>
          </w:tcPr>
          <w:p>
            <w:pPr>
              <w:jc w:val="center"/>
              <w:rPr>
                <w:rFonts w:asciiTheme="minorEastAsia" w:hAnsiTheme="minorEastAsia"/>
                <w:sz w:val="18"/>
                <w:szCs w:val="18"/>
              </w:rPr>
            </w:pP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统计</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标准错误</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统计</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变异系数</w:t>
            </w:r>
          </w:p>
        </w:tc>
        <w:tc>
          <w:tcPr>
            <w:tcW w:w="715"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权重</w:t>
            </w:r>
          </w:p>
        </w:tc>
        <w:tc>
          <w:tcPr>
            <w:tcW w:w="1110" w:type="dxa"/>
            <w:vMerge w:val="continue"/>
            <w:shd w:val="clear" w:color="auto" w:fill="auto"/>
            <w:vAlign w:val="center"/>
          </w:tcPr>
          <w:p>
            <w:pPr>
              <w:jc w:val="center"/>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183"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当前就业满意度</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3.700</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0.030</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0.902</w:t>
            </w:r>
          </w:p>
        </w:tc>
        <w:tc>
          <w:tcPr>
            <w:tcW w:w="1072" w:type="dxa"/>
            <w:shd w:val="clear" w:color="auto" w:fill="auto"/>
            <w:vAlign w:val="center"/>
          </w:tcPr>
          <w:p>
            <w:pPr>
              <w:jc w:val="center"/>
              <w:rPr>
                <w:rFonts w:asciiTheme="minorEastAsia" w:hAnsiTheme="minorEastAsia"/>
                <w:sz w:val="18"/>
                <w:szCs w:val="18"/>
              </w:rPr>
            </w:pPr>
          </w:p>
        </w:tc>
        <w:tc>
          <w:tcPr>
            <w:tcW w:w="715" w:type="dxa"/>
            <w:shd w:val="clear" w:color="auto" w:fill="auto"/>
            <w:vAlign w:val="center"/>
          </w:tcPr>
          <w:p>
            <w:pPr>
              <w:jc w:val="center"/>
              <w:rPr>
                <w:rFonts w:asciiTheme="minorEastAsia" w:hAnsiTheme="minorEastAsia"/>
                <w:sz w:val="18"/>
                <w:szCs w:val="18"/>
              </w:rPr>
            </w:pPr>
          </w:p>
        </w:tc>
        <w:tc>
          <w:tcPr>
            <w:tcW w:w="1110" w:type="dxa"/>
            <w:shd w:val="clear" w:color="auto" w:fill="auto"/>
            <w:vAlign w:val="center"/>
          </w:tcPr>
          <w:p>
            <w:pPr>
              <w:jc w:val="center"/>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2183"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单位的行业发展前景</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3.624</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0.029</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0.880</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0.243</w:t>
            </w:r>
          </w:p>
        </w:tc>
        <w:tc>
          <w:tcPr>
            <w:tcW w:w="715"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0.064</w:t>
            </w:r>
          </w:p>
        </w:tc>
        <w:tc>
          <w:tcPr>
            <w:tcW w:w="1110"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2183"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单位在业界知名度</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3.517</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0.033</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0.996</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0.283</w:t>
            </w:r>
          </w:p>
        </w:tc>
        <w:tc>
          <w:tcPr>
            <w:tcW w:w="715"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0.075</w:t>
            </w:r>
          </w:p>
        </w:tc>
        <w:tc>
          <w:tcPr>
            <w:tcW w:w="1110"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2183"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工作单位前途</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3.635</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0.028</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0.848</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0.233</w:t>
            </w:r>
          </w:p>
        </w:tc>
        <w:tc>
          <w:tcPr>
            <w:tcW w:w="715"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0.062</w:t>
            </w:r>
          </w:p>
        </w:tc>
        <w:tc>
          <w:tcPr>
            <w:tcW w:w="1110"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2183"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工作与专业相关度</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3.604</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0.038</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1.153</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0.320</w:t>
            </w:r>
          </w:p>
        </w:tc>
        <w:tc>
          <w:tcPr>
            <w:tcW w:w="715"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0.085</w:t>
            </w:r>
          </w:p>
        </w:tc>
        <w:tc>
          <w:tcPr>
            <w:tcW w:w="1110"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2183"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工作与理想职业一致性</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3.348</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0.031</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0.942</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0.281</w:t>
            </w:r>
          </w:p>
        </w:tc>
        <w:tc>
          <w:tcPr>
            <w:tcW w:w="715"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0.074</w:t>
            </w:r>
          </w:p>
        </w:tc>
        <w:tc>
          <w:tcPr>
            <w:tcW w:w="1110"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2183"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薪资评价</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3.187</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0.030</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0.914</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0.287</w:t>
            </w:r>
          </w:p>
        </w:tc>
        <w:tc>
          <w:tcPr>
            <w:tcW w:w="715"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0.076</w:t>
            </w:r>
          </w:p>
        </w:tc>
        <w:tc>
          <w:tcPr>
            <w:tcW w:w="1110"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2183"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福利和社会保障</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3.478</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0.031</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0.925</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0.266</w:t>
            </w:r>
          </w:p>
        </w:tc>
        <w:tc>
          <w:tcPr>
            <w:tcW w:w="715"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0.070</w:t>
            </w:r>
          </w:p>
        </w:tc>
        <w:tc>
          <w:tcPr>
            <w:tcW w:w="1110"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2183"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工作环境</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3.524</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0.029</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0.863</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0.245</w:t>
            </w:r>
          </w:p>
        </w:tc>
        <w:tc>
          <w:tcPr>
            <w:tcW w:w="715"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0.065</w:t>
            </w:r>
          </w:p>
        </w:tc>
        <w:tc>
          <w:tcPr>
            <w:tcW w:w="1110"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2183"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工作稳性</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3.642</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0.030</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0.891</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0.245</w:t>
            </w:r>
          </w:p>
        </w:tc>
        <w:tc>
          <w:tcPr>
            <w:tcW w:w="715"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0.065</w:t>
            </w:r>
          </w:p>
        </w:tc>
        <w:tc>
          <w:tcPr>
            <w:tcW w:w="1110"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2183"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单位培训机会</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3.422</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0.034</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1.005</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0.294</w:t>
            </w:r>
          </w:p>
        </w:tc>
        <w:tc>
          <w:tcPr>
            <w:tcW w:w="715"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0.078</w:t>
            </w:r>
          </w:p>
        </w:tc>
        <w:tc>
          <w:tcPr>
            <w:tcW w:w="1110"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2183"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加班评价</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3.582</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0.046</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1.372</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0.383</w:t>
            </w:r>
          </w:p>
        </w:tc>
        <w:tc>
          <w:tcPr>
            <w:tcW w:w="715"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0.101</w:t>
            </w:r>
          </w:p>
        </w:tc>
        <w:tc>
          <w:tcPr>
            <w:tcW w:w="1110"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2183"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工作岗位满意度</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3.888</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0.029</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0.884</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0.227</w:t>
            </w:r>
          </w:p>
        </w:tc>
        <w:tc>
          <w:tcPr>
            <w:tcW w:w="715"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0.060</w:t>
            </w:r>
          </w:p>
        </w:tc>
        <w:tc>
          <w:tcPr>
            <w:tcW w:w="1110"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2183"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工作岗位适应状态</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3.879</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0.027</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0.805</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0.208</w:t>
            </w:r>
          </w:p>
        </w:tc>
        <w:tc>
          <w:tcPr>
            <w:tcW w:w="715"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0.055</w:t>
            </w:r>
          </w:p>
        </w:tc>
        <w:tc>
          <w:tcPr>
            <w:tcW w:w="1110"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183"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工作岗位晋升机制</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3.726</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0.032</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0.972</w:t>
            </w:r>
          </w:p>
        </w:tc>
        <w:tc>
          <w:tcPr>
            <w:tcW w:w="1072"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0.261</w:t>
            </w:r>
          </w:p>
        </w:tc>
        <w:tc>
          <w:tcPr>
            <w:tcW w:w="715"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0.069</w:t>
            </w:r>
          </w:p>
        </w:tc>
        <w:tc>
          <w:tcPr>
            <w:tcW w:w="1110"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2183"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综合评估值</w:t>
            </w:r>
          </w:p>
        </w:tc>
        <w:tc>
          <w:tcPr>
            <w:tcW w:w="6113" w:type="dxa"/>
            <w:gridSpan w:val="6"/>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3.562分，899个样本</w:t>
            </w:r>
          </w:p>
        </w:tc>
      </w:tr>
    </w:tbl>
    <w:p>
      <w:pPr>
        <w:spacing w:before="156" w:after="156"/>
      </w:pPr>
    </w:p>
    <w:p>
      <w:pPr>
        <w:spacing w:before="156" w:after="156"/>
      </w:pPr>
      <w:r>
        <w:drawing>
          <wp:inline distT="0" distB="0" distL="0" distR="0">
            <wp:extent cx="5273675" cy="1076325"/>
            <wp:effectExtent l="0" t="0" r="3175" b="9525"/>
            <wp:docPr id="49" name="图片 49" descr="C:\Users\Administrator\Desktop\满意度区间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Administrator\Desktop\满意度区间 (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275240" cy="1076644"/>
                    </a:xfrm>
                    <a:prstGeom prst="rect">
                      <a:avLst/>
                    </a:prstGeom>
                    <a:noFill/>
                    <a:ln>
                      <a:noFill/>
                    </a:ln>
                  </pic:spPr>
                </pic:pic>
              </a:graphicData>
            </a:graphic>
          </wp:inline>
        </w:drawing>
      </w:r>
    </w:p>
    <w:p>
      <w:pPr>
        <w:pStyle w:val="8"/>
        <w:jc w:val="center"/>
        <w:rPr>
          <w:rFonts w:asciiTheme="minorEastAsia" w:hAnsiTheme="minorEastAsia" w:eastAsiaTheme="minorEastAsia"/>
          <w:sz w:val="18"/>
        </w:rPr>
      </w:pPr>
      <w:bookmarkStart w:id="140" w:name="_Toc459807172"/>
      <w:bookmarkStart w:id="141" w:name="_Toc470887032"/>
      <w:r>
        <w:rPr>
          <w:rFonts w:hint="eastAsia" w:asciiTheme="minorEastAsia" w:hAnsiTheme="minorEastAsia" w:eastAsiaTheme="minorEastAsia"/>
          <w:sz w:val="18"/>
        </w:rPr>
        <w:t>图3-</w:t>
      </w:r>
      <w:r>
        <w:rPr>
          <w:rFonts w:asciiTheme="minorEastAsia" w:hAnsiTheme="minorEastAsia" w:eastAsiaTheme="minorEastAsia"/>
          <w:sz w:val="18"/>
        </w:rPr>
        <w:fldChar w:fldCharType="begin"/>
      </w:r>
      <w:r>
        <w:rPr>
          <w:rFonts w:asciiTheme="minorEastAsia" w:hAnsiTheme="minorEastAsia" w:eastAsiaTheme="minorEastAsia"/>
          <w:sz w:val="18"/>
        </w:rPr>
        <w:instrText xml:space="preserve"> </w:instrText>
      </w:r>
      <w:r>
        <w:rPr>
          <w:rFonts w:hint="eastAsia" w:asciiTheme="minorEastAsia" w:hAnsiTheme="minorEastAsia" w:eastAsiaTheme="minorEastAsia"/>
          <w:sz w:val="18"/>
        </w:rPr>
        <w:instrText xml:space="preserve">SEQ 图3- \* ARABIC</w:instrText>
      </w:r>
      <w:r>
        <w:rPr>
          <w:rFonts w:asciiTheme="minorEastAsia" w:hAnsiTheme="minorEastAsia" w:eastAsiaTheme="minorEastAsia"/>
          <w:sz w:val="18"/>
        </w:rPr>
        <w:instrText xml:space="preserve"> </w:instrText>
      </w:r>
      <w:r>
        <w:rPr>
          <w:rFonts w:asciiTheme="minorEastAsia" w:hAnsiTheme="minorEastAsia" w:eastAsiaTheme="minorEastAsia"/>
          <w:sz w:val="18"/>
        </w:rPr>
        <w:fldChar w:fldCharType="separate"/>
      </w:r>
      <w:r>
        <w:rPr>
          <w:rFonts w:asciiTheme="minorEastAsia" w:hAnsiTheme="minorEastAsia" w:eastAsiaTheme="minorEastAsia"/>
          <w:sz w:val="18"/>
        </w:rPr>
        <w:t>14</w:t>
      </w:r>
      <w:r>
        <w:rPr>
          <w:rFonts w:asciiTheme="minorEastAsia" w:hAnsiTheme="minorEastAsia" w:eastAsiaTheme="minorEastAsia"/>
          <w:sz w:val="18"/>
        </w:rPr>
        <w:fldChar w:fldCharType="end"/>
      </w:r>
      <w:r>
        <w:rPr>
          <w:rFonts w:asciiTheme="minorEastAsia" w:hAnsiTheme="minorEastAsia" w:eastAsiaTheme="minorEastAsia"/>
          <w:sz w:val="18"/>
        </w:rPr>
        <w:t xml:space="preserve"> </w:t>
      </w:r>
      <w:r>
        <w:rPr>
          <w:rFonts w:hint="eastAsia" w:asciiTheme="minorEastAsia" w:hAnsiTheme="minorEastAsia" w:eastAsiaTheme="minorEastAsia"/>
          <w:sz w:val="18"/>
        </w:rPr>
        <w:t>均值</w:t>
      </w:r>
      <w:r>
        <w:rPr>
          <w:rFonts w:asciiTheme="minorEastAsia" w:hAnsiTheme="minorEastAsia" w:eastAsiaTheme="minorEastAsia"/>
          <w:sz w:val="18"/>
        </w:rPr>
        <w:t>代表区间</w:t>
      </w:r>
      <w:r>
        <w:rPr>
          <w:rFonts w:hint="eastAsia" w:asciiTheme="minorEastAsia" w:hAnsiTheme="minorEastAsia" w:eastAsiaTheme="minorEastAsia"/>
          <w:sz w:val="18"/>
        </w:rPr>
        <w:t>指示图</w:t>
      </w:r>
      <w:bookmarkEnd w:id="140"/>
      <w:bookmarkEnd w:id="141"/>
    </w:p>
    <w:p>
      <w:pPr>
        <w:pStyle w:val="40"/>
      </w:pPr>
      <w:r>
        <w:rPr>
          <w:rFonts w:hint="eastAsia"/>
        </w:rPr>
        <w:t>由表</w:t>
      </w:r>
      <w:r>
        <w:t>可知，</w:t>
      </w:r>
      <w:r>
        <w:rPr>
          <w:rFonts w:hint="eastAsia"/>
        </w:rPr>
        <w:t>湖南商学院2016届</w:t>
      </w:r>
      <w:r>
        <w:t>毕业生</w:t>
      </w:r>
      <w:r>
        <w:rPr>
          <w:rFonts w:hint="eastAsia"/>
        </w:rPr>
        <w:t>就业</w:t>
      </w:r>
      <w:r>
        <w:t>质量评估综合得分为</w:t>
      </w:r>
      <w:r>
        <w:rPr>
          <w:rFonts w:hint="eastAsia"/>
        </w:rPr>
        <w:t>3.</w:t>
      </w:r>
      <w:r>
        <w:t>562</w:t>
      </w:r>
      <w:r>
        <w:rPr>
          <w:rFonts w:hint="eastAsia"/>
        </w:rPr>
        <w:t>分</w:t>
      </w:r>
      <w:r>
        <w:t>，</w:t>
      </w:r>
      <w:r>
        <w:rPr>
          <w:rFonts w:hint="eastAsia"/>
        </w:rPr>
        <w:t>毕业生对</w:t>
      </w:r>
      <w:r>
        <w:t>当前就业较为</w:t>
      </w:r>
      <w:r>
        <w:rPr>
          <w:rFonts w:hint="eastAsia"/>
        </w:rPr>
        <w:t>满意</w:t>
      </w:r>
      <w:r>
        <w:t>。</w:t>
      </w:r>
    </w:p>
    <w:p>
      <w:pPr>
        <w:pStyle w:val="33"/>
      </w:pPr>
      <w:bookmarkStart w:id="142" w:name="_Toc469038358"/>
      <w:r>
        <w:t>3.</w:t>
      </w:r>
      <w:r>
        <w:rPr>
          <w:rFonts w:hint="eastAsia"/>
        </w:rPr>
        <w:t>评估结果反馈</w:t>
      </w:r>
      <w:bookmarkEnd w:id="142"/>
    </w:p>
    <w:p>
      <w:pPr>
        <w:pStyle w:val="37"/>
        <w:spacing w:before="120" w:after="120"/>
      </w:pPr>
      <w:bookmarkStart w:id="143" w:name="_Toc469038359"/>
      <w:r>
        <w:rPr>
          <w:rFonts w:hint="eastAsia"/>
        </w:rPr>
        <w:t>（1）各项评估</w:t>
      </w:r>
      <w:r>
        <w:t>指标满意度分布</w:t>
      </w:r>
      <w:bookmarkEnd w:id="143"/>
    </w:p>
    <w:p>
      <w:pPr>
        <w:spacing w:before="156" w:after="156"/>
      </w:pPr>
      <w:r>
        <w:drawing>
          <wp:inline distT="0" distB="0" distL="0" distR="0">
            <wp:extent cx="5181600" cy="3133725"/>
            <wp:effectExtent l="0" t="0" r="0" b="9525"/>
            <wp:docPr id="50" name="图表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pStyle w:val="8"/>
        <w:jc w:val="center"/>
        <w:rPr>
          <w:rFonts w:asciiTheme="minorEastAsia" w:hAnsiTheme="minorEastAsia" w:eastAsiaTheme="minorEastAsia"/>
          <w:sz w:val="18"/>
          <w:szCs w:val="18"/>
        </w:rPr>
      </w:pPr>
      <w:bookmarkStart w:id="144" w:name="_Toc470887033"/>
      <w:bookmarkStart w:id="145" w:name="_Toc459807174"/>
      <w:r>
        <w:rPr>
          <w:rFonts w:hint="eastAsia" w:asciiTheme="minorEastAsia" w:hAnsiTheme="minorEastAsia" w:eastAsiaTheme="minorEastAsia"/>
          <w:sz w:val="18"/>
          <w:szCs w:val="18"/>
        </w:rPr>
        <w:t>图3-</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图3-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15</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各</w:t>
      </w:r>
      <w:r>
        <w:rPr>
          <w:rFonts w:asciiTheme="minorEastAsia" w:hAnsiTheme="minorEastAsia" w:eastAsiaTheme="minorEastAsia"/>
          <w:sz w:val="18"/>
          <w:szCs w:val="18"/>
        </w:rPr>
        <w:t>项指标满意度分布</w:t>
      </w:r>
      <w:bookmarkEnd w:id="144"/>
      <w:bookmarkEnd w:id="145"/>
    </w:p>
    <w:p>
      <w:pPr>
        <w:spacing w:before="156" w:after="156"/>
        <w:rPr>
          <w:color w:val="000000"/>
          <w:sz w:val="18"/>
          <w:szCs w:val="18"/>
        </w:rPr>
      </w:pPr>
      <w:r>
        <w:rPr>
          <w:rFonts w:hint="eastAsia"/>
          <w:color w:val="000000"/>
          <w:sz w:val="18"/>
          <w:szCs w:val="18"/>
        </w:rPr>
        <w:t>备注： 上述得分由</w:t>
      </w:r>
      <w:r>
        <w:rPr>
          <w:color w:val="000000"/>
          <w:sz w:val="18"/>
          <w:szCs w:val="18"/>
        </w:rPr>
        <w:t>899</w:t>
      </w:r>
      <w:r>
        <w:rPr>
          <w:rFonts w:hint="eastAsia"/>
          <w:color w:val="000000"/>
          <w:sz w:val="18"/>
          <w:szCs w:val="18"/>
        </w:rPr>
        <w:t>名学生对各项指标得分求均值所得， 满分5分。</w:t>
      </w:r>
    </w:p>
    <w:p>
      <w:pPr>
        <w:pStyle w:val="40"/>
        <w:ind w:firstLine="482"/>
      </w:pPr>
      <w:r>
        <w:rPr>
          <w:rFonts w:hint="eastAsia"/>
          <w:b/>
        </w:rPr>
        <w:t>结论：</w:t>
      </w:r>
      <w:r>
        <w:rPr>
          <w:rFonts w:hint="eastAsia"/>
        </w:rPr>
        <w:t>从湖南商学院2016届毕业生就业质量各项评估指标满意</w:t>
      </w:r>
      <w:r>
        <w:t>度</w:t>
      </w:r>
      <w:r>
        <w:rPr>
          <w:rFonts w:hint="eastAsia"/>
        </w:rPr>
        <w:t>得分来看，当前毕业</w:t>
      </w:r>
      <w:r>
        <w:t>生</w:t>
      </w:r>
      <w:r>
        <w:rPr>
          <w:rFonts w:hint="eastAsia"/>
        </w:rPr>
        <w:t>就业</w:t>
      </w:r>
      <w:r>
        <w:t>满意度的均值为</w:t>
      </w:r>
      <w:r>
        <w:rPr>
          <w:rFonts w:hint="eastAsia"/>
        </w:rPr>
        <w:t>3.</w:t>
      </w:r>
      <w:r>
        <w:t>700</w:t>
      </w:r>
      <w:r>
        <w:rPr>
          <w:rFonts w:hint="eastAsia"/>
        </w:rPr>
        <w:t>分；各</w:t>
      </w:r>
      <w:r>
        <w:t>项评估指标中，</w:t>
      </w:r>
      <w:r>
        <w:rPr>
          <w:rFonts w:hint="eastAsia"/>
        </w:rPr>
        <w:t>得分排名</w:t>
      </w:r>
      <w:r>
        <w:t>前三的</w:t>
      </w:r>
      <w:r>
        <w:rPr>
          <w:rFonts w:hint="eastAsia"/>
        </w:rPr>
        <w:t>指标</w:t>
      </w:r>
      <w:r>
        <w:t>为</w:t>
      </w:r>
      <w:r>
        <w:rPr>
          <w:rFonts w:hint="eastAsia"/>
        </w:rPr>
        <w:t>工作</w:t>
      </w:r>
      <w:r>
        <w:t>岗位满意度、工作岗位适应状态、工作岗位晋升机制</w:t>
      </w:r>
      <w:r>
        <w:rPr>
          <w:rFonts w:hint="eastAsia"/>
        </w:rPr>
        <w:t>；</w:t>
      </w:r>
      <w:r>
        <w:t>排名后三名的指标为薪资</w:t>
      </w:r>
      <w:r>
        <w:rPr>
          <w:rFonts w:hint="eastAsia"/>
        </w:rPr>
        <w:t>评价</w:t>
      </w:r>
      <w:r>
        <w:t>、工作与理想</w:t>
      </w:r>
      <w:r>
        <w:rPr>
          <w:rFonts w:hint="eastAsia"/>
        </w:rPr>
        <w:t>职业</w:t>
      </w:r>
      <w:r>
        <w:t>一致性</w:t>
      </w:r>
      <w:r>
        <w:rPr>
          <w:rFonts w:hint="eastAsia"/>
        </w:rPr>
        <w:t>、单位培训</w:t>
      </w:r>
      <w:r>
        <w:t>机会</w:t>
      </w:r>
      <w:r>
        <w:rPr>
          <w:rFonts w:hint="eastAsia"/>
        </w:rPr>
        <w:t>。</w:t>
      </w:r>
    </w:p>
    <w:p>
      <w:pPr>
        <w:pStyle w:val="40"/>
      </w:pPr>
    </w:p>
    <w:p>
      <w:pPr>
        <w:pStyle w:val="37"/>
        <w:spacing w:before="120" w:after="120"/>
      </w:pPr>
      <w:bookmarkStart w:id="146" w:name="_Toc469038360"/>
      <w:r>
        <w:rPr>
          <w:rFonts w:hint="eastAsia"/>
        </w:rPr>
        <w:t>（</w:t>
      </w:r>
      <w:r>
        <w:t>2</w:t>
      </w:r>
      <w:r>
        <w:rPr>
          <w:rFonts w:hint="eastAsia"/>
        </w:rPr>
        <w:t>）各项评估</w:t>
      </w:r>
      <w:r>
        <w:t>指标</w:t>
      </w:r>
      <w:r>
        <w:rPr>
          <w:rFonts w:hint="eastAsia"/>
        </w:rPr>
        <w:t>重要性</w:t>
      </w:r>
      <w:r>
        <w:t>分布</w:t>
      </w:r>
      <w:bookmarkEnd w:id="146"/>
    </w:p>
    <w:p>
      <w:pPr>
        <w:spacing w:before="156" w:after="156"/>
        <w:jc w:val="center"/>
      </w:pPr>
      <w:r>
        <w:drawing>
          <wp:inline distT="0" distB="0" distL="0" distR="0">
            <wp:extent cx="4572000" cy="2743200"/>
            <wp:effectExtent l="0" t="0" r="0" b="0"/>
            <wp:docPr id="51" name="图表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pStyle w:val="8"/>
        <w:jc w:val="center"/>
        <w:rPr>
          <w:rFonts w:asciiTheme="minorEastAsia" w:hAnsiTheme="minorEastAsia" w:eastAsiaTheme="minorEastAsia"/>
          <w:sz w:val="18"/>
          <w:szCs w:val="18"/>
        </w:rPr>
      </w:pPr>
      <w:bookmarkStart w:id="147" w:name="_Toc470887034"/>
      <w:r>
        <w:rPr>
          <w:rFonts w:hint="eastAsia" w:asciiTheme="minorEastAsia" w:hAnsiTheme="minorEastAsia" w:eastAsiaTheme="minorEastAsia"/>
          <w:sz w:val="18"/>
          <w:szCs w:val="18"/>
        </w:rPr>
        <w:t>图3-</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图3-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16</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各指标重要</w:t>
      </w:r>
      <w:r>
        <w:rPr>
          <w:rFonts w:asciiTheme="minorEastAsia" w:hAnsiTheme="minorEastAsia" w:eastAsiaTheme="minorEastAsia"/>
          <w:sz w:val="18"/>
          <w:szCs w:val="18"/>
        </w:rPr>
        <w:t>性分布</w:t>
      </w:r>
      <w:bookmarkEnd w:id="147"/>
    </w:p>
    <w:p>
      <w:pPr>
        <w:pStyle w:val="40"/>
        <w:ind w:firstLine="482"/>
      </w:pPr>
      <w:r>
        <w:rPr>
          <w:rFonts w:hint="eastAsia"/>
          <w:b/>
        </w:rPr>
        <w:t>结论：</w:t>
      </w:r>
      <w:r>
        <w:rPr>
          <w:rFonts w:hint="eastAsia"/>
        </w:rPr>
        <w:t>从湖南商学院2016届毕业生对就业质量各项评价指标重要性来看： 重要性排名靠前三的分别是加班评价、</w:t>
      </w:r>
      <w:r>
        <w:t>工作与专业相关度、单位培训机会</w:t>
      </w:r>
      <w:r>
        <w:rPr>
          <w:rFonts w:hint="eastAsia"/>
        </w:rPr>
        <w:t>；</w:t>
      </w:r>
      <w:r>
        <w:t>重要性排名后三的分别是</w:t>
      </w:r>
      <w:r>
        <w:rPr>
          <w:rFonts w:hint="eastAsia"/>
        </w:rPr>
        <w:t>工作岗位适应</w:t>
      </w:r>
      <w:r>
        <w:t>状态</w:t>
      </w:r>
      <w:r>
        <w:rPr>
          <w:rFonts w:hint="eastAsia"/>
        </w:rPr>
        <w:t>、工作</w:t>
      </w:r>
      <w:r>
        <w:t>岗位满意度、</w:t>
      </w:r>
      <w:r>
        <w:rPr>
          <w:rFonts w:hint="eastAsia"/>
        </w:rPr>
        <w:t>工作单位</w:t>
      </w:r>
      <w:r>
        <w:t>前途。</w:t>
      </w:r>
    </w:p>
    <w:p>
      <w:pPr>
        <w:pStyle w:val="37"/>
      </w:pPr>
      <w:bookmarkStart w:id="148" w:name="_Toc469038361"/>
      <w:r>
        <w:rPr>
          <w:rFonts w:hint="eastAsia"/>
        </w:rPr>
        <w:t>（</w:t>
      </w:r>
      <w:r>
        <w:t>3</w:t>
      </w:r>
      <w:r>
        <w:rPr>
          <w:rFonts w:hint="eastAsia"/>
        </w:rPr>
        <w:t>）整体四象图</w:t>
      </w:r>
      <w:r>
        <w:t>分布</w:t>
      </w:r>
      <w:bookmarkEnd w:id="148"/>
    </w:p>
    <w:p>
      <w:pPr>
        <w:pStyle w:val="40"/>
      </w:pPr>
      <w:r>
        <w:rPr>
          <w:rFonts w:hint="eastAsia"/>
        </w:rPr>
        <w:t>以</w:t>
      </w:r>
      <w:r>
        <w:t>各指标的权重值为横坐标</w:t>
      </w:r>
      <w:r>
        <w:rPr>
          <w:rFonts w:hint="eastAsia"/>
        </w:rPr>
        <w:t>，</w:t>
      </w:r>
      <w:r>
        <w:t>以各指标的均值为纵坐标，以权重值的均值为</w:t>
      </w:r>
      <w:r>
        <w:rPr>
          <w:rFonts w:hint="eastAsia"/>
        </w:rPr>
        <w:t>坐标轴原</w:t>
      </w:r>
      <w:r>
        <w:t>点的横坐标</w:t>
      </w:r>
      <w:r>
        <w:rPr>
          <w:rFonts w:hint="eastAsia"/>
        </w:rPr>
        <w:t>，</w:t>
      </w:r>
      <w:r>
        <w:t>以各指标的均值为坐标轴原点的纵坐标</w:t>
      </w:r>
      <w:r>
        <w:rPr>
          <w:rFonts w:hint="eastAsia"/>
        </w:rPr>
        <w:t>。对整体</w:t>
      </w:r>
      <w:r>
        <w:t>做</w:t>
      </w:r>
      <w:r>
        <w:rPr>
          <w:rFonts w:hint="eastAsia"/>
        </w:rPr>
        <w:t>出</w:t>
      </w:r>
      <w:r>
        <w:t>四象限图</w:t>
      </w:r>
      <w:r>
        <w:rPr>
          <w:rFonts w:hint="eastAsia"/>
        </w:rPr>
        <w:t>3</w:t>
      </w:r>
      <w:r>
        <w:t>-17：</w:t>
      </w:r>
    </w:p>
    <w:p>
      <w:pPr>
        <w:autoSpaceDE w:val="0"/>
        <w:autoSpaceDN w:val="0"/>
        <w:adjustRightInd w:val="0"/>
        <w:spacing w:before="156" w:after="156" w:line="360" w:lineRule="auto"/>
        <w:jc w:val="left"/>
      </w:pPr>
      <w:r>
        <w:drawing>
          <wp:inline distT="0" distB="0" distL="0" distR="0">
            <wp:extent cx="5219700" cy="3371850"/>
            <wp:effectExtent l="0" t="0" r="0" b="0"/>
            <wp:docPr id="52" name="图表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pStyle w:val="8"/>
        <w:jc w:val="center"/>
        <w:rPr>
          <w:rFonts w:asciiTheme="minorEastAsia" w:hAnsiTheme="minorEastAsia" w:eastAsiaTheme="minorEastAsia"/>
          <w:sz w:val="18"/>
          <w:szCs w:val="18"/>
        </w:rPr>
      </w:pPr>
      <w:bookmarkStart w:id="149" w:name="_Toc470887035"/>
      <w:bookmarkStart w:id="150" w:name="_Toc459807173"/>
      <w:r>
        <w:rPr>
          <w:rFonts w:hint="eastAsia" w:asciiTheme="minorEastAsia" w:hAnsiTheme="minorEastAsia" w:eastAsiaTheme="minorEastAsia"/>
          <w:sz w:val="18"/>
          <w:szCs w:val="18"/>
        </w:rPr>
        <w:t>图3-</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图3-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17</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整体</w:t>
      </w:r>
      <w:r>
        <w:rPr>
          <w:rFonts w:asciiTheme="minorEastAsia" w:hAnsiTheme="minorEastAsia" w:eastAsiaTheme="minorEastAsia"/>
          <w:sz w:val="18"/>
          <w:szCs w:val="18"/>
        </w:rPr>
        <w:t>四象限图分布</w:t>
      </w:r>
      <w:bookmarkEnd w:id="149"/>
      <w:bookmarkEnd w:id="150"/>
    </w:p>
    <w:p>
      <w:pPr>
        <w:pStyle w:val="40"/>
        <w:ind w:firstLine="482"/>
      </w:pPr>
      <w:r>
        <w:rPr>
          <w:rFonts w:hint="eastAsia"/>
          <w:b/>
        </w:rPr>
        <w:t>结论</w:t>
      </w:r>
      <w:r>
        <w:rPr>
          <w:rFonts w:hint="eastAsia"/>
        </w:rPr>
        <w:t>：由湖南商学院2016年毕业生就业质量评价指标的满意度—重要性的四象限图可知，各评价指标主要落在第二与第四象限。</w:t>
      </w:r>
    </w:p>
    <w:p>
      <w:pPr>
        <w:pStyle w:val="40"/>
      </w:pPr>
      <w:r>
        <w:rPr>
          <w:rFonts w:hint="eastAsia"/>
        </w:rPr>
        <w:t>落在第一象限的指标分别是工作与</w:t>
      </w:r>
      <w:r>
        <w:t>专业相关度、加班</w:t>
      </w:r>
      <w:r>
        <w:rPr>
          <w:rFonts w:hint="eastAsia"/>
        </w:rPr>
        <w:t>评价；落在第二象限的指标</w:t>
      </w:r>
      <w:r>
        <w:t>为工作岗位满意度、工作岗位适应状态、工作岗位晋升机制、工作稳定性、工作单位前途、单位的行业发展前景</w:t>
      </w:r>
      <w:r>
        <w:rPr>
          <w:rFonts w:hint="eastAsia"/>
        </w:rPr>
        <w:t>；落在</w:t>
      </w:r>
      <w:r>
        <w:t>第三</w:t>
      </w:r>
      <w:r>
        <w:rPr>
          <w:rFonts w:hint="eastAsia"/>
        </w:rPr>
        <w:t>象限</w:t>
      </w:r>
      <w:r>
        <w:t>的指标是</w:t>
      </w:r>
      <w:r>
        <w:rPr>
          <w:rFonts w:hint="eastAsia"/>
        </w:rPr>
        <w:t>工作环境</w:t>
      </w:r>
      <w:r>
        <w:t>、福利和社会保障</w:t>
      </w:r>
      <w:r>
        <w:rPr>
          <w:rFonts w:hint="eastAsia"/>
        </w:rPr>
        <w:t>；落在第四象限的分别是单位</w:t>
      </w:r>
      <w:r>
        <w:t>在业界知名度、单位培训机会、工作与理想</w:t>
      </w:r>
      <w:r>
        <w:rPr>
          <w:rFonts w:hint="eastAsia"/>
        </w:rPr>
        <w:t>职业</w:t>
      </w:r>
      <w:r>
        <w:t>一致性、薪资</w:t>
      </w:r>
      <w:r>
        <w:rPr>
          <w:rFonts w:hint="eastAsia"/>
        </w:rPr>
        <w:t>评价。</w:t>
      </w:r>
    </w:p>
    <w:p>
      <w:pPr>
        <w:pStyle w:val="40"/>
      </w:pPr>
      <w:r>
        <w:rPr>
          <w:rFonts w:hint="eastAsia"/>
        </w:rPr>
        <w:t>在</w:t>
      </w:r>
      <w:r>
        <w:t>提</w:t>
      </w:r>
      <w:r>
        <w:rPr>
          <w:rFonts w:hint="eastAsia"/>
        </w:rPr>
        <w:t>高湖南商学院毕业</w:t>
      </w:r>
      <w:r>
        <w:t>生就业质量方面，社会与学校</w:t>
      </w:r>
      <w:r>
        <w:rPr>
          <w:rFonts w:hint="eastAsia"/>
        </w:rPr>
        <w:t>采取</w:t>
      </w:r>
      <w:r>
        <w:t>措施应</w:t>
      </w:r>
      <w:r>
        <w:rPr>
          <w:rFonts w:hint="eastAsia"/>
        </w:rPr>
        <w:t>将</w:t>
      </w:r>
      <w:r>
        <w:t>关注重点</w:t>
      </w:r>
      <w:r>
        <w:rPr>
          <w:rFonts w:hint="eastAsia"/>
        </w:rPr>
        <w:t>放在</w:t>
      </w:r>
      <w:r>
        <w:t>第四象限</w:t>
      </w:r>
      <w:r>
        <w:rPr>
          <w:rFonts w:hint="eastAsia"/>
        </w:rPr>
        <w:t>各</w:t>
      </w:r>
      <w:r>
        <w:t>指标</w:t>
      </w:r>
      <w:r>
        <w:rPr>
          <w:rFonts w:hint="eastAsia"/>
        </w:rPr>
        <w:t>上</w:t>
      </w:r>
      <w:r>
        <w:t>。</w:t>
      </w:r>
    </w:p>
    <w:p>
      <w:pPr>
        <w:pStyle w:val="37"/>
        <w:spacing w:before="120" w:after="120"/>
      </w:pPr>
      <w:bookmarkStart w:id="151" w:name="_Toc469038362"/>
      <w:r>
        <w:rPr>
          <w:rFonts w:hint="eastAsia"/>
        </w:rPr>
        <w:t>（4）就业质量</w:t>
      </w:r>
      <w:r>
        <w:t>综合评估</w:t>
      </w:r>
      <w:r>
        <w:rPr>
          <w:rFonts w:hint="eastAsia"/>
        </w:rPr>
        <w:t>值反馈</w:t>
      </w:r>
      <w:bookmarkEnd w:id="151"/>
    </w:p>
    <w:p>
      <w:pPr>
        <w:pStyle w:val="40"/>
      </w:pPr>
      <w:r>
        <w:rPr>
          <w:rFonts w:hint="eastAsia"/>
        </w:rPr>
        <w:t>整体上</w:t>
      </w:r>
      <w:r>
        <w:t>，</w:t>
      </w:r>
      <w:r>
        <w:rPr>
          <w:rFonts w:hint="eastAsia"/>
        </w:rPr>
        <w:t>毕业</w:t>
      </w:r>
      <w:r>
        <w:t>生就业整体满意</w:t>
      </w:r>
      <w:r>
        <w:rPr>
          <w:rFonts w:hint="eastAsia"/>
        </w:rPr>
        <w:t>度均值</w:t>
      </w:r>
      <w:r>
        <w:t>得分为</w:t>
      </w:r>
      <w:r>
        <w:rPr>
          <w:rFonts w:hint="eastAsia"/>
        </w:rPr>
        <w:t>3.</w:t>
      </w:r>
      <w:r>
        <w:t>700</w:t>
      </w:r>
      <w:r>
        <w:rPr>
          <w:rFonts w:hint="eastAsia"/>
        </w:rPr>
        <w:t>分</w:t>
      </w:r>
      <w:r>
        <w:t>（</w:t>
      </w:r>
      <w:r>
        <w:rPr>
          <w:rFonts w:hint="eastAsia"/>
        </w:rPr>
        <w:t>满分5分</w:t>
      </w:r>
      <w:r>
        <w:t>），评估分为</w:t>
      </w:r>
      <w:r>
        <w:rPr>
          <w:rFonts w:hint="eastAsia"/>
        </w:rPr>
        <w:t>3.</w:t>
      </w:r>
      <w:r>
        <w:t>562</w:t>
      </w:r>
      <w:r>
        <w:rPr>
          <w:rFonts w:hint="eastAsia"/>
        </w:rPr>
        <w:t>分，平均值高于评估值</w:t>
      </w:r>
      <w:r>
        <w:t>，说明</w:t>
      </w:r>
      <w:r>
        <w:rPr>
          <w:rFonts w:hint="eastAsia"/>
        </w:rPr>
        <w:t>湖南商学院就业</w:t>
      </w:r>
      <w:r>
        <w:t>质量</w:t>
      </w:r>
      <w:r>
        <w:rPr>
          <w:rFonts w:hint="eastAsia"/>
        </w:rPr>
        <w:t>得分在[</w:t>
      </w:r>
      <w:r>
        <w:t>3.562,3.700]</w:t>
      </w:r>
      <w:r>
        <w:rPr>
          <w:rFonts w:hint="eastAsia"/>
        </w:rPr>
        <w:t>分之间，即</w:t>
      </w:r>
      <w:r>
        <w:t>整体还算</w:t>
      </w:r>
      <w:r>
        <w:rPr>
          <w:rFonts w:hint="eastAsia"/>
        </w:rPr>
        <w:t>不错</w:t>
      </w:r>
      <w:r>
        <w:t>。</w:t>
      </w:r>
    </w:p>
    <w:p>
      <w:pPr>
        <w:pStyle w:val="25"/>
      </w:pPr>
      <w:bookmarkStart w:id="152" w:name="_Toc469038363"/>
      <w:bookmarkStart w:id="153" w:name="_Toc471310941"/>
      <w:r>
        <w:rPr>
          <w:rFonts w:hint="eastAsia"/>
        </w:rPr>
        <w:t>三</w:t>
      </w:r>
      <w:r>
        <w:t>、自主创业</w:t>
      </w:r>
      <w:r>
        <w:rPr>
          <w:rFonts w:hint="eastAsia"/>
        </w:rPr>
        <w:t>分析</w:t>
      </w:r>
      <w:bookmarkEnd w:id="152"/>
      <w:bookmarkEnd w:id="153"/>
    </w:p>
    <w:p>
      <w:pPr>
        <w:pStyle w:val="40"/>
      </w:pPr>
      <w:r>
        <w:rPr>
          <w:rFonts w:hint="eastAsia"/>
        </w:rPr>
        <w:t>本次</w:t>
      </w:r>
      <w:r>
        <w:t>调研针对</w:t>
      </w:r>
      <w:r>
        <w:rPr>
          <w:rFonts w:hint="eastAsia"/>
        </w:rPr>
        <w:t>离校后的</w:t>
      </w:r>
      <w:r>
        <w:t>毕业生</w:t>
      </w:r>
      <w:r>
        <w:rPr>
          <w:rFonts w:hint="eastAsia"/>
        </w:rPr>
        <w:t>进行</w:t>
      </w:r>
      <w:r>
        <w:t>，有</w:t>
      </w:r>
      <w:r>
        <w:rPr>
          <w:rFonts w:hint="eastAsia"/>
        </w:rPr>
        <w:t>意向</w:t>
      </w:r>
      <w:r>
        <w:t>创业的毕业生</w:t>
      </w:r>
      <w:r>
        <w:rPr>
          <w:rFonts w:hint="eastAsia"/>
        </w:rPr>
        <w:t>的具体情况</w:t>
      </w:r>
      <w:r>
        <w:t>如下：</w:t>
      </w:r>
    </w:p>
    <w:p>
      <w:pPr>
        <w:pStyle w:val="30"/>
      </w:pPr>
      <w:bookmarkStart w:id="154" w:name="_Toc469038364"/>
      <w:bookmarkStart w:id="155" w:name="_Toc471310942"/>
      <w:r>
        <w:rPr>
          <w:rFonts w:hint="eastAsia"/>
        </w:rPr>
        <w:t>（一）自主创业</w:t>
      </w:r>
      <w:r>
        <w:t>原因</w:t>
      </w:r>
      <w:bookmarkEnd w:id="154"/>
      <w:bookmarkEnd w:id="155"/>
    </w:p>
    <w:p>
      <w:pPr>
        <w:pStyle w:val="40"/>
      </w:pPr>
      <w:r>
        <w:rPr>
          <w:rFonts w:hint="eastAsia"/>
        </w:rPr>
        <w:t>毕业生</w:t>
      </w:r>
      <w:r>
        <w:t>自主创业的原因主要有以下四种，其中</w:t>
      </w:r>
      <w:r>
        <w:rPr>
          <w:rFonts w:hint="eastAsia"/>
        </w:rPr>
        <w:t>为“实现</w:t>
      </w:r>
      <w:r>
        <w:t>个人理想及价值</w:t>
      </w:r>
      <w:r>
        <w:rPr>
          <w:rFonts w:hint="eastAsia"/>
        </w:rPr>
        <w:t>”和“有</w:t>
      </w:r>
      <w:r>
        <w:t>好的创业项目</w:t>
      </w:r>
      <w:r>
        <w:rPr>
          <w:rFonts w:hint="eastAsia"/>
        </w:rPr>
        <w:t>”而</w:t>
      </w:r>
      <w:r>
        <w:t>创业</w:t>
      </w:r>
      <w:r>
        <w:rPr>
          <w:rFonts w:hint="eastAsia"/>
        </w:rPr>
        <w:t>的</w:t>
      </w:r>
      <w:r>
        <w:t>比例相当，均为</w:t>
      </w:r>
      <w:r>
        <w:rPr>
          <w:rFonts w:hint="eastAsia"/>
        </w:rPr>
        <w:t>37.25</w:t>
      </w:r>
      <w:r>
        <w:t>%</w:t>
      </w:r>
      <w:r>
        <w:rPr>
          <w:rFonts w:hint="eastAsia"/>
        </w:rPr>
        <w:t>；“受他人邀请创业”</w:t>
      </w:r>
      <w:r>
        <w:t>的</w:t>
      </w:r>
      <w:r>
        <w:rPr>
          <w:rFonts w:hint="eastAsia"/>
        </w:rPr>
        <w:t>占21.57</w:t>
      </w:r>
      <w:r>
        <w:t>%，还有</w:t>
      </w:r>
      <w:r>
        <w:rPr>
          <w:rFonts w:hint="eastAsia"/>
        </w:rPr>
        <w:t>3.92</w:t>
      </w:r>
      <w:r>
        <w:t>%的毕业生是</w:t>
      </w:r>
      <w:r>
        <w:rPr>
          <w:rFonts w:hint="eastAsia"/>
        </w:rPr>
        <w:t>“未找到</w:t>
      </w:r>
      <w:r>
        <w:t>合适的工作</w:t>
      </w:r>
      <w:r>
        <w:rPr>
          <w:rFonts w:hint="eastAsia"/>
        </w:rPr>
        <w:t>”而“被动”创业，</w:t>
      </w:r>
      <w:r>
        <w:t>这部分毕业生</w:t>
      </w:r>
      <w:r>
        <w:rPr>
          <w:rFonts w:hint="eastAsia"/>
        </w:rPr>
        <w:t>应</w:t>
      </w:r>
      <w:r>
        <w:t>详细了解</w:t>
      </w:r>
      <w:r>
        <w:rPr>
          <w:rFonts w:hint="eastAsia"/>
        </w:rPr>
        <w:t>创业相关政策，</w:t>
      </w:r>
      <w:r>
        <w:t>认真寻找项目，不要因被动而草草创业，最终导致创业失败，浪费</w:t>
      </w:r>
      <w:r>
        <w:rPr>
          <w:rFonts w:hint="eastAsia"/>
        </w:rPr>
        <w:t>宝贵</w:t>
      </w:r>
      <w:r>
        <w:t>的时间与经历。</w:t>
      </w:r>
      <w:r>
        <w:rPr>
          <w:rFonts w:hint="eastAsia"/>
        </w:rPr>
        <w:t>详见图3</w:t>
      </w:r>
      <w:r>
        <w:t>-18。</w:t>
      </w:r>
    </w:p>
    <w:p>
      <w:pPr>
        <w:jc w:val="center"/>
      </w:pPr>
      <w:r>
        <w:drawing>
          <wp:inline distT="0" distB="0" distL="0" distR="0">
            <wp:extent cx="3600450" cy="2219325"/>
            <wp:effectExtent l="0" t="0" r="0" b="9525"/>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pStyle w:val="8"/>
        <w:jc w:val="center"/>
        <w:rPr>
          <w:rFonts w:asciiTheme="minorEastAsia" w:hAnsiTheme="minorEastAsia" w:eastAsiaTheme="minorEastAsia"/>
          <w:sz w:val="18"/>
          <w:szCs w:val="18"/>
        </w:rPr>
      </w:pPr>
      <w:bookmarkStart w:id="156" w:name="_Toc470887036"/>
      <w:r>
        <w:rPr>
          <w:rFonts w:hint="eastAsia" w:asciiTheme="minorEastAsia" w:hAnsiTheme="minorEastAsia" w:eastAsiaTheme="minorEastAsia"/>
          <w:sz w:val="18"/>
          <w:szCs w:val="18"/>
        </w:rPr>
        <w:t>图3-</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图3-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18</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自主创业</w:t>
      </w:r>
      <w:r>
        <w:rPr>
          <w:rFonts w:asciiTheme="minorEastAsia" w:hAnsiTheme="minorEastAsia" w:eastAsiaTheme="minorEastAsia"/>
          <w:sz w:val="18"/>
          <w:szCs w:val="18"/>
        </w:rPr>
        <w:t>原因</w:t>
      </w:r>
      <w:bookmarkEnd w:id="156"/>
    </w:p>
    <w:p>
      <w:pPr>
        <w:pStyle w:val="30"/>
      </w:pPr>
      <w:bookmarkStart w:id="157" w:name="_Toc471310943"/>
      <w:bookmarkStart w:id="158" w:name="_Toc469038365"/>
      <w:r>
        <w:rPr>
          <w:rFonts w:hint="eastAsia"/>
        </w:rPr>
        <w:t>（二）自主创业</w:t>
      </w:r>
      <w:r>
        <w:t>行业</w:t>
      </w:r>
      <w:bookmarkEnd w:id="157"/>
      <w:bookmarkEnd w:id="158"/>
    </w:p>
    <w:p>
      <w:pPr>
        <w:pStyle w:val="40"/>
      </w:pPr>
      <w:r>
        <w:rPr>
          <w:rFonts w:hint="eastAsia"/>
        </w:rPr>
        <w:t>根据</w:t>
      </w:r>
      <w:r>
        <w:t>调研数据，毕业生自主创业的行业主要分布在以下18</w:t>
      </w:r>
      <w:r>
        <w:rPr>
          <w:rFonts w:hint="eastAsia"/>
        </w:rPr>
        <w:t>个</w:t>
      </w:r>
      <w:r>
        <w:t>行业中，创业行业排名前三的是</w:t>
      </w:r>
      <w:r>
        <w:rPr>
          <w:rFonts w:hint="eastAsia"/>
        </w:rPr>
        <w:t>“批发和零售业”“信息传输、软件和信息技术服务业”“电力、热力、燃气及水生产和供应业”， 在“房地产业”“金融业”“居民服务、修理和其它服务业”“科学研究和技术服务业”“水利、环境和公共设施管理业”“卫生和社会工作”“租赁和商务服务业”这</w:t>
      </w:r>
      <w:r>
        <w:t>七个行业</w:t>
      </w:r>
      <w:r>
        <w:rPr>
          <w:rFonts w:hint="eastAsia"/>
        </w:rPr>
        <w:t>创业</w:t>
      </w:r>
      <w:r>
        <w:t>的</w:t>
      </w:r>
      <w:r>
        <w:rPr>
          <w:rFonts w:hint="eastAsia"/>
        </w:rPr>
        <w:t>占比</w:t>
      </w:r>
      <w:r>
        <w:t>最少，均只有</w:t>
      </w:r>
      <w:r>
        <w:rPr>
          <w:rFonts w:hint="eastAsia"/>
        </w:rPr>
        <w:t>1.96</w:t>
      </w:r>
      <w:r>
        <w:t>%。</w:t>
      </w:r>
      <w:r>
        <w:rPr>
          <w:rFonts w:hint="eastAsia"/>
        </w:rPr>
        <w:t>详见图3</w:t>
      </w:r>
      <w:r>
        <w:t>-19。</w:t>
      </w:r>
    </w:p>
    <w:p>
      <w:r>
        <w:drawing>
          <wp:inline distT="0" distB="0" distL="0" distR="0">
            <wp:extent cx="5274310" cy="3456305"/>
            <wp:effectExtent l="0" t="0" r="2540" b="10795"/>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pStyle w:val="8"/>
        <w:jc w:val="center"/>
        <w:rPr>
          <w:rFonts w:asciiTheme="minorEastAsia" w:hAnsiTheme="minorEastAsia" w:eastAsiaTheme="minorEastAsia"/>
          <w:sz w:val="18"/>
          <w:szCs w:val="18"/>
        </w:rPr>
      </w:pPr>
      <w:bookmarkStart w:id="159" w:name="_Toc470887037"/>
      <w:r>
        <w:rPr>
          <w:rFonts w:hint="eastAsia" w:asciiTheme="minorEastAsia" w:hAnsiTheme="minorEastAsia" w:eastAsiaTheme="minorEastAsia"/>
          <w:sz w:val="18"/>
          <w:szCs w:val="18"/>
        </w:rPr>
        <w:t>图3-</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图3-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19</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自主创业行业</w:t>
      </w:r>
      <w:bookmarkEnd w:id="159"/>
    </w:p>
    <w:p>
      <w:pPr>
        <w:pStyle w:val="30"/>
      </w:pPr>
      <w:bookmarkStart w:id="160" w:name="_Toc471310944"/>
      <w:bookmarkStart w:id="161" w:name="_Toc469038366"/>
      <w:r>
        <w:rPr>
          <w:rFonts w:hint="eastAsia"/>
        </w:rPr>
        <w:t>（三）自主创业资金来源</w:t>
      </w:r>
      <w:bookmarkEnd w:id="160"/>
      <w:bookmarkEnd w:id="161"/>
    </w:p>
    <w:p>
      <w:pPr>
        <w:pStyle w:val="40"/>
      </w:pPr>
      <w:r>
        <w:rPr>
          <w:rFonts w:hint="eastAsia"/>
        </w:rPr>
        <w:t>根据</w:t>
      </w:r>
      <w:r>
        <w:t>调研数据，</w:t>
      </w:r>
      <w:r>
        <w:rPr>
          <w:rFonts w:hint="eastAsia"/>
        </w:rPr>
        <w:t>毕业生创业</w:t>
      </w:r>
      <w:r>
        <w:t>资金主要来自</w:t>
      </w:r>
      <w:r>
        <w:rPr>
          <w:rFonts w:hint="eastAsia"/>
        </w:rPr>
        <w:t>于“大学生</w:t>
      </w:r>
      <w:r>
        <w:t>创业贷款</w:t>
      </w:r>
      <w:r>
        <w:rPr>
          <w:rFonts w:hint="eastAsia"/>
        </w:rPr>
        <w:t>”“父母资助”“创业</w:t>
      </w:r>
      <w:r>
        <w:t>扶持基金</w:t>
      </w:r>
      <w:r>
        <w:rPr>
          <w:rFonts w:hint="eastAsia"/>
        </w:rPr>
        <w:t>”，因此学校</w:t>
      </w:r>
      <w:r>
        <w:t>和国家有关部门应</w:t>
      </w:r>
      <w:r>
        <w:rPr>
          <w:rFonts w:hint="eastAsia"/>
        </w:rPr>
        <w:t>增加</w:t>
      </w:r>
      <w:r>
        <w:t>大学生创业贷款</w:t>
      </w:r>
      <w:r>
        <w:rPr>
          <w:rFonts w:hint="eastAsia"/>
        </w:rPr>
        <w:t>和</w:t>
      </w:r>
      <w:r>
        <w:t>扶持基金，为</w:t>
      </w:r>
      <w:r>
        <w:rPr>
          <w:rFonts w:hint="eastAsia"/>
        </w:rPr>
        <w:t>需要</w:t>
      </w:r>
      <w:r>
        <w:t>创业的毕业生创造有利的条件，</w:t>
      </w:r>
      <w:r>
        <w:rPr>
          <w:rFonts w:hint="eastAsia"/>
        </w:rPr>
        <w:t>扫清</w:t>
      </w:r>
      <w:r>
        <w:t>创业路上的障碍，</w:t>
      </w:r>
      <w:r>
        <w:rPr>
          <w:rFonts w:hint="eastAsia"/>
        </w:rPr>
        <w:t>也</w:t>
      </w:r>
      <w:r>
        <w:t>为</w:t>
      </w:r>
      <w:r>
        <w:rPr>
          <w:rFonts w:hint="eastAsia"/>
        </w:rPr>
        <w:t>创业</w:t>
      </w:r>
      <w:r>
        <w:t>毕业生家庭减轻</w:t>
      </w:r>
      <w:r>
        <w:rPr>
          <w:rFonts w:hint="eastAsia"/>
        </w:rPr>
        <w:t>负担。详见图3</w:t>
      </w:r>
      <w:r>
        <w:t>-20。</w:t>
      </w:r>
    </w:p>
    <w:p>
      <w:pPr>
        <w:jc w:val="center"/>
      </w:pPr>
      <w:r>
        <w:drawing>
          <wp:inline distT="0" distB="0" distL="0" distR="0">
            <wp:extent cx="3533775" cy="2409825"/>
            <wp:effectExtent l="0" t="0" r="9525" b="9525"/>
            <wp:docPr id="35" name="图表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pStyle w:val="8"/>
        <w:jc w:val="center"/>
        <w:rPr>
          <w:rFonts w:asciiTheme="minorEastAsia" w:hAnsiTheme="minorEastAsia" w:eastAsiaTheme="minorEastAsia"/>
          <w:sz w:val="18"/>
          <w:szCs w:val="18"/>
        </w:rPr>
      </w:pPr>
      <w:bookmarkStart w:id="162" w:name="_Toc470887038"/>
      <w:r>
        <w:rPr>
          <w:rFonts w:hint="eastAsia" w:asciiTheme="minorEastAsia" w:hAnsiTheme="minorEastAsia" w:eastAsiaTheme="minorEastAsia"/>
          <w:sz w:val="18"/>
          <w:szCs w:val="18"/>
        </w:rPr>
        <w:t>图3-</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图3-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20</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自主创业资金来源</w:t>
      </w:r>
      <w:bookmarkEnd w:id="162"/>
    </w:p>
    <w:p>
      <w:pPr>
        <w:pStyle w:val="30"/>
      </w:pPr>
      <w:bookmarkStart w:id="163" w:name="_Toc471310945"/>
      <w:bookmarkStart w:id="164" w:name="_Toc469038367"/>
      <w:r>
        <w:rPr>
          <w:rFonts w:hint="eastAsia"/>
        </w:rPr>
        <w:t>（四）自主创业</w:t>
      </w:r>
      <w:r>
        <w:t>遇到的困难</w:t>
      </w:r>
      <w:bookmarkEnd w:id="163"/>
      <w:bookmarkEnd w:id="164"/>
    </w:p>
    <w:p>
      <w:pPr>
        <w:pStyle w:val="40"/>
      </w:pPr>
      <w:r>
        <w:rPr>
          <w:rFonts w:hint="eastAsia"/>
        </w:rPr>
        <w:t>调研数据</w:t>
      </w:r>
      <w:r>
        <w:t>显示，</w:t>
      </w:r>
      <w:r>
        <w:rPr>
          <w:rFonts w:hint="eastAsia"/>
        </w:rPr>
        <w:t>自主</w:t>
      </w:r>
      <w:r>
        <w:t>创业毕业生遇到的</w:t>
      </w:r>
      <w:r>
        <w:rPr>
          <w:rFonts w:hint="eastAsia"/>
        </w:rPr>
        <w:t>最</w:t>
      </w:r>
      <w:r>
        <w:t>主要困难</w:t>
      </w:r>
      <w:r>
        <w:rPr>
          <w:rFonts w:hint="eastAsia"/>
        </w:rPr>
        <w:t>是“社会关系缺乏”；</w:t>
      </w:r>
      <w:r>
        <w:t>其次是</w:t>
      </w:r>
      <w:r>
        <w:rPr>
          <w:rFonts w:hint="eastAsia"/>
        </w:rPr>
        <w:t>“资金的筹备”“创业团队组建”和“产品服务的营销推广”；还有</w:t>
      </w:r>
      <w:r>
        <w:t>少部分毕业生遇到的困难是</w:t>
      </w:r>
      <w:r>
        <w:rPr>
          <w:rFonts w:hint="eastAsia"/>
        </w:rPr>
        <w:t>“政策环境不利”，</w:t>
      </w:r>
      <w:r>
        <w:t>对此，国家有关部门</w:t>
      </w:r>
      <w:r>
        <w:rPr>
          <w:rFonts w:hint="eastAsia"/>
        </w:rPr>
        <w:t>应</w:t>
      </w:r>
      <w:r>
        <w:t>在政策上对创业的毕业生进行倾斜，以便毕业生能够顺利创业。详见图</w:t>
      </w:r>
      <w:r>
        <w:rPr>
          <w:rFonts w:hint="eastAsia"/>
        </w:rPr>
        <w:t>3</w:t>
      </w:r>
      <w:r>
        <w:t>-21</w:t>
      </w:r>
      <w:r>
        <w:rPr>
          <w:rFonts w:hint="eastAsia"/>
        </w:rPr>
        <w:t>。</w:t>
      </w:r>
    </w:p>
    <w:p>
      <w:pPr>
        <w:jc w:val="center"/>
      </w:pPr>
      <w:r>
        <w:drawing>
          <wp:inline distT="0" distB="0" distL="0" distR="0">
            <wp:extent cx="4572000" cy="2743200"/>
            <wp:effectExtent l="0" t="0" r="0" b="0"/>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pPr>
        <w:pStyle w:val="8"/>
        <w:jc w:val="center"/>
        <w:rPr>
          <w:rFonts w:asciiTheme="minorEastAsia" w:hAnsiTheme="minorEastAsia" w:eastAsiaTheme="minorEastAsia"/>
          <w:sz w:val="18"/>
          <w:szCs w:val="18"/>
        </w:rPr>
      </w:pPr>
      <w:bookmarkStart w:id="165" w:name="_Toc470887039"/>
      <w:r>
        <w:rPr>
          <w:rFonts w:hint="eastAsia" w:asciiTheme="minorEastAsia" w:hAnsiTheme="minorEastAsia" w:eastAsiaTheme="minorEastAsia"/>
          <w:sz w:val="18"/>
          <w:szCs w:val="18"/>
        </w:rPr>
        <w:t>图3-</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图3-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21</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自主创业遇到的困难</w:t>
      </w:r>
      <w:bookmarkEnd w:id="165"/>
    </w:p>
    <w:p/>
    <w:p>
      <w:pPr>
        <w:pStyle w:val="25"/>
      </w:pPr>
      <w:bookmarkStart w:id="166" w:name="_Toc471310946"/>
      <w:bookmarkStart w:id="167" w:name="_Toc469038368"/>
      <w:r>
        <w:rPr>
          <w:rFonts w:hint="eastAsia"/>
        </w:rPr>
        <w:t>四</w:t>
      </w:r>
      <w:r>
        <w:t>、</w:t>
      </w:r>
      <w:r>
        <w:rPr>
          <w:rFonts w:hint="eastAsia"/>
        </w:rPr>
        <w:t>继续深造</w:t>
      </w:r>
      <w:r>
        <w:t>与</w:t>
      </w:r>
      <w:r>
        <w:rPr>
          <w:rFonts w:hint="eastAsia"/>
        </w:rPr>
        <w:t>出国分析</w:t>
      </w:r>
      <w:bookmarkEnd w:id="166"/>
      <w:bookmarkEnd w:id="167"/>
    </w:p>
    <w:p>
      <w:pPr>
        <w:pStyle w:val="30"/>
      </w:pPr>
      <w:bookmarkStart w:id="168" w:name="_Toc469038369"/>
      <w:bookmarkStart w:id="169" w:name="_Toc471310947"/>
      <w:r>
        <w:rPr>
          <w:rFonts w:hint="eastAsia"/>
        </w:rPr>
        <w:t>（一）继续深造与出国</w:t>
      </w:r>
      <w:r>
        <w:t>原因</w:t>
      </w:r>
      <w:bookmarkEnd w:id="168"/>
      <w:bookmarkEnd w:id="169"/>
    </w:p>
    <w:p>
      <w:pPr>
        <w:pStyle w:val="40"/>
      </w:pPr>
      <w:r>
        <w:rPr>
          <w:rFonts w:hint="eastAsia"/>
        </w:rPr>
        <w:t>总体</w:t>
      </w:r>
      <w:r>
        <w:t>来看，毕业生选择继续深造与出国的</w:t>
      </w:r>
      <w:r>
        <w:rPr>
          <w:rFonts w:hint="eastAsia"/>
        </w:rPr>
        <w:t>最主要</w:t>
      </w:r>
      <w:r>
        <w:t>原因是提升综合能力，</w:t>
      </w:r>
      <w:r>
        <w:rPr>
          <w:rFonts w:hint="eastAsia"/>
        </w:rPr>
        <w:t>其次</w:t>
      </w:r>
      <w:r>
        <w:t>是对专业感兴趣和延缓就业压力。分</w:t>
      </w:r>
      <w:r>
        <w:rPr>
          <w:rFonts w:hint="eastAsia"/>
        </w:rPr>
        <w:t>学历</w:t>
      </w:r>
      <w:r>
        <w:t>来看，</w:t>
      </w:r>
      <w:r>
        <w:rPr>
          <w:rFonts w:hint="eastAsia"/>
        </w:rPr>
        <w:t>8</w:t>
      </w:r>
      <w:r>
        <w:t>0.49%</w:t>
      </w:r>
      <w:r>
        <w:rPr>
          <w:rFonts w:hint="eastAsia"/>
        </w:rPr>
        <w:t>的</w:t>
      </w:r>
      <w:r>
        <w:t>专科生</w:t>
      </w:r>
      <w:r>
        <w:rPr>
          <w:rFonts w:hint="eastAsia"/>
        </w:rPr>
        <w:t>继续</w:t>
      </w:r>
      <w:r>
        <w:t>深造与出国的</w:t>
      </w:r>
      <w:r>
        <w:rPr>
          <w:rFonts w:hint="eastAsia"/>
        </w:rPr>
        <w:t>原因</w:t>
      </w:r>
      <w:r>
        <w:t>是为了提升综合能力，</w:t>
      </w:r>
      <w:r>
        <w:rPr>
          <w:rFonts w:hint="eastAsia"/>
        </w:rPr>
        <w:t>为了</w:t>
      </w:r>
      <w:r>
        <w:t>延缓就业压力和对专业感兴趣的占比</w:t>
      </w:r>
      <w:r>
        <w:rPr>
          <w:rFonts w:hint="eastAsia"/>
        </w:rPr>
        <w:t>仅4.88</w:t>
      </w:r>
      <w:r>
        <w:t>%</w:t>
      </w:r>
      <w:r>
        <w:rPr>
          <w:rFonts w:hint="eastAsia"/>
        </w:rPr>
        <w:t>；</w:t>
      </w:r>
      <w:r>
        <w:t>而本科</w:t>
      </w:r>
      <w:r>
        <w:rPr>
          <w:rFonts w:hint="eastAsia"/>
        </w:rPr>
        <w:t>生有15.98</w:t>
      </w:r>
      <w:r>
        <w:t>%是为了延缓就业压力，</w:t>
      </w:r>
      <w:r>
        <w:rPr>
          <w:rFonts w:hint="eastAsia"/>
        </w:rPr>
        <w:t>15.46</w:t>
      </w:r>
      <w:r>
        <w:t>%是因为对专业感兴趣。</w:t>
      </w:r>
      <w:r>
        <w:rPr>
          <w:rFonts w:hint="eastAsia"/>
        </w:rPr>
        <w:t>详见图3</w:t>
      </w:r>
      <w:r>
        <w:t>-22。</w:t>
      </w:r>
    </w:p>
    <w:p>
      <w:pPr>
        <w:jc w:val="center"/>
      </w:pPr>
      <w:r>
        <w:drawing>
          <wp:inline distT="0" distB="0" distL="0" distR="0">
            <wp:extent cx="4572000" cy="2743200"/>
            <wp:effectExtent l="0" t="0" r="0" b="0"/>
            <wp:docPr id="37"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pStyle w:val="8"/>
        <w:jc w:val="center"/>
        <w:rPr>
          <w:rFonts w:asciiTheme="minorEastAsia" w:hAnsiTheme="minorEastAsia" w:eastAsiaTheme="minorEastAsia"/>
          <w:sz w:val="18"/>
          <w:szCs w:val="18"/>
        </w:rPr>
      </w:pPr>
      <w:bookmarkStart w:id="170" w:name="_Toc470887040"/>
      <w:r>
        <w:rPr>
          <w:rFonts w:hint="eastAsia" w:asciiTheme="minorEastAsia" w:hAnsiTheme="minorEastAsia" w:eastAsiaTheme="minorEastAsia"/>
          <w:sz w:val="18"/>
          <w:szCs w:val="18"/>
        </w:rPr>
        <w:t>图3-</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图3-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22</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继续深造</w:t>
      </w:r>
      <w:r>
        <w:rPr>
          <w:rFonts w:asciiTheme="minorEastAsia" w:hAnsiTheme="minorEastAsia" w:eastAsiaTheme="minorEastAsia"/>
          <w:sz w:val="18"/>
          <w:szCs w:val="18"/>
        </w:rPr>
        <w:t>与出国原因</w:t>
      </w:r>
      <w:bookmarkEnd w:id="170"/>
    </w:p>
    <w:p>
      <w:pPr>
        <w:pStyle w:val="30"/>
      </w:pPr>
      <w:bookmarkStart w:id="171" w:name="_Toc471310948"/>
      <w:bookmarkStart w:id="172" w:name="_Toc469038370"/>
      <w:r>
        <w:rPr>
          <w:rFonts w:hint="eastAsia"/>
        </w:rPr>
        <w:t>（二）继续深造与出国类型</w:t>
      </w:r>
      <w:bookmarkEnd w:id="171"/>
      <w:bookmarkEnd w:id="172"/>
    </w:p>
    <w:p>
      <w:pPr>
        <w:pStyle w:val="40"/>
      </w:pPr>
      <w:r>
        <w:rPr>
          <w:rFonts w:hint="eastAsia"/>
        </w:rPr>
        <w:t>总体</w:t>
      </w:r>
      <w:r>
        <w:t>来看，毕业生继续深造与出国的</w:t>
      </w:r>
      <w:r>
        <w:rPr>
          <w:rFonts w:hint="eastAsia"/>
        </w:rPr>
        <w:t>类型</w:t>
      </w:r>
      <w:r>
        <w:t>主要是</w:t>
      </w:r>
      <w:r>
        <w:rPr>
          <w:rFonts w:hint="eastAsia"/>
        </w:rPr>
        <w:t>“国内继续深造”。</w:t>
      </w:r>
      <w:r>
        <w:t>分</w:t>
      </w:r>
      <w:r>
        <w:rPr>
          <w:rFonts w:hint="eastAsia"/>
        </w:rPr>
        <w:t>学历</w:t>
      </w:r>
      <w:r>
        <w:t>来看，</w:t>
      </w:r>
      <w:r>
        <w:rPr>
          <w:rFonts w:hint="eastAsia"/>
        </w:rPr>
        <w:t>本科生</w:t>
      </w:r>
      <w:r>
        <w:t>和</w:t>
      </w:r>
      <w:r>
        <w:rPr>
          <w:rFonts w:hint="eastAsia"/>
        </w:rPr>
        <w:t>专科生最主要</w:t>
      </w:r>
      <w:r>
        <w:t>的继续深造与出国类型是</w:t>
      </w:r>
      <w:r>
        <w:rPr>
          <w:rFonts w:hint="eastAsia"/>
        </w:rPr>
        <w:t>“出国（境）继续深造”和“国内继续深造”，但本科生“出国（境）继续深造”的</w:t>
      </w:r>
      <w:r>
        <w:t>比例远低于专科生，</w:t>
      </w:r>
      <w:r>
        <w:rPr>
          <w:rFonts w:hint="eastAsia"/>
        </w:rPr>
        <w:t>本科生“国内继续深造”的</w:t>
      </w:r>
      <w:r>
        <w:t>比例高于专科生。详见图</w:t>
      </w:r>
      <w:r>
        <w:rPr>
          <w:rFonts w:hint="eastAsia"/>
        </w:rPr>
        <w:t>3</w:t>
      </w:r>
      <w:r>
        <w:t>-23</w:t>
      </w:r>
      <w:r>
        <w:rPr>
          <w:rFonts w:hint="eastAsia"/>
        </w:rPr>
        <w:t>。</w:t>
      </w:r>
    </w:p>
    <w:p>
      <w:pPr>
        <w:jc w:val="center"/>
      </w:pPr>
      <w:r>
        <w:drawing>
          <wp:inline distT="0" distB="0" distL="0" distR="0">
            <wp:extent cx="4572000" cy="2743200"/>
            <wp:effectExtent l="0" t="0" r="0" b="0"/>
            <wp:docPr id="38"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pStyle w:val="8"/>
        <w:jc w:val="center"/>
        <w:rPr>
          <w:rFonts w:asciiTheme="minorEastAsia" w:hAnsiTheme="minorEastAsia" w:eastAsiaTheme="minorEastAsia"/>
          <w:sz w:val="18"/>
          <w:szCs w:val="18"/>
        </w:rPr>
      </w:pPr>
      <w:bookmarkStart w:id="173" w:name="_Toc470887041"/>
      <w:r>
        <w:rPr>
          <w:rFonts w:hint="eastAsia" w:asciiTheme="minorEastAsia" w:hAnsiTheme="minorEastAsia" w:eastAsiaTheme="minorEastAsia"/>
          <w:sz w:val="18"/>
          <w:szCs w:val="18"/>
        </w:rPr>
        <w:t>图3-</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图3-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23</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继续深造</w:t>
      </w:r>
      <w:r>
        <w:rPr>
          <w:rFonts w:asciiTheme="minorEastAsia" w:hAnsiTheme="minorEastAsia" w:eastAsiaTheme="minorEastAsia"/>
          <w:sz w:val="18"/>
          <w:szCs w:val="18"/>
        </w:rPr>
        <w:t>与出国</w:t>
      </w:r>
      <w:r>
        <w:rPr>
          <w:rFonts w:hint="eastAsia" w:asciiTheme="minorEastAsia" w:hAnsiTheme="minorEastAsia" w:eastAsiaTheme="minorEastAsia"/>
          <w:sz w:val="18"/>
          <w:szCs w:val="18"/>
        </w:rPr>
        <w:t>类型</w:t>
      </w:r>
      <w:bookmarkEnd w:id="173"/>
    </w:p>
    <w:p>
      <w:pPr>
        <w:pStyle w:val="25"/>
      </w:pPr>
      <w:bookmarkStart w:id="174" w:name="_Toc469038371"/>
      <w:bookmarkStart w:id="175" w:name="_Toc471310949"/>
      <w:r>
        <w:rPr>
          <w:rFonts w:hint="eastAsia"/>
        </w:rPr>
        <w:t>五</w:t>
      </w:r>
      <w:r>
        <w:t>、未就业</w:t>
      </w:r>
      <w:r>
        <w:rPr>
          <w:rFonts w:hint="eastAsia"/>
        </w:rPr>
        <w:t>分析</w:t>
      </w:r>
      <w:bookmarkEnd w:id="174"/>
      <w:bookmarkEnd w:id="175"/>
    </w:p>
    <w:p>
      <w:pPr>
        <w:pStyle w:val="30"/>
      </w:pPr>
      <w:bookmarkStart w:id="176" w:name="_Toc471310950"/>
      <w:bookmarkStart w:id="177" w:name="_Toc469038372"/>
      <w:r>
        <w:rPr>
          <w:rFonts w:hint="eastAsia"/>
        </w:rPr>
        <w:t>（一）求职中</w:t>
      </w:r>
      <w:r>
        <w:t>主要关注的因素</w:t>
      </w:r>
      <w:r>
        <w:rPr>
          <w:rFonts w:hint="eastAsia"/>
        </w:rPr>
        <w:t>分析</w:t>
      </w:r>
      <w:bookmarkEnd w:id="176"/>
      <w:bookmarkEnd w:id="177"/>
    </w:p>
    <w:p>
      <w:pPr>
        <w:pStyle w:val="40"/>
      </w:pPr>
      <w:r>
        <w:rPr>
          <w:rFonts w:hint="eastAsia"/>
        </w:rPr>
        <w:t>根据</w:t>
      </w:r>
      <w:r>
        <w:t>调研数据，总体来看，毕业生求职时</w:t>
      </w:r>
      <w:r>
        <w:rPr>
          <w:rFonts w:hint="eastAsia"/>
        </w:rPr>
        <w:t>关注</w:t>
      </w:r>
      <w:r>
        <w:t>的最主要因素是薪酬水平，其次是单位发展空间，再次是工作环境；关注度比较小的是父母期望</w:t>
      </w:r>
      <w:r>
        <w:rPr>
          <w:rFonts w:hint="eastAsia"/>
        </w:rPr>
        <w:t>、</w:t>
      </w:r>
      <w:r>
        <w:t>单位的社会声望</w:t>
      </w:r>
      <w:r>
        <w:rPr>
          <w:rFonts w:hint="eastAsia"/>
        </w:rPr>
        <w:t>和</w:t>
      </w:r>
      <w:r>
        <w:t>其他。这说明</w:t>
      </w:r>
      <w:r>
        <w:rPr>
          <w:rFonts w:hint="eastAsia"/>
        </w:rPr>
        <w:t>毕业生</w:t>
      </w:r>
      <w:r>
        <w:t>在求职时不仅</w:t>
      </w:r>
      <w:r>
        <w:rPr>
          <w:rFonts w:hint="eastAsia"/>
        </w:rPr>
        <w:t>注重</w:t>
      </w:r>
      <w:r>
        <w:t>薪酬水平，还</w:t>
      </w:r>
      <w:r>
        <w:rPr>
          <w:rFonts w:hint="eastAsia"/>
        </w:rPr>
        <w:t>注重</w:t>
      </w:r>
      <w:r>
        <w:t>长远发展</w:t>
      </w:r>
      <w:r>
        <w:rPr>
          <w:rFonts w:hint="eastAsia"/>
        </w:rPr>
        <w:t>。</w:t>
      </w:r>
    </w:p>
    <w:p>
      <w:pPr>
        <w:pStyle w:val="40"/>
      </w:pPr>
      <w:r>
        <w:rPr>
          <w:rFonts w:hint="eastAsia"/>
        </w:rPr>
        <w:t>分学历层次</w:t>
      </w:r>
      <w:r>
        <w:t>来看，</w:t>
      </w:r>
      <w:r>
        <w:rPr>
          <w:rFonts w:hint="eastAsia"/>
        </w:rPr>
        <w:t>本科生</w:t>
      </w:r>
      <w:r>
        <w:t>和专科生</w:t>
      </w:r>
      <w:r>
        <w:rPr>
          <w:rFonts w:hint="eastAsia"/>
        </w:rPr>
        <w:t>关注</w:t>
      </w:r>
      <w:r>
        <w:t>的前三个因素中，</w:t>
      </w:r>
      <w:r>
        <w:rPr>
          <w:rFonts w:hint="eastAsia"/>
        </w:rPr>
        <w:t>专科生</w:t>
      </w:r>
      <w:r>
        <w:t>关注工作环境的比例高于本科生</w:t>
      </w:r>
      <w:r>
        <w:rPr>
          <w:rFonts w:hint="eastAsia"/>
        </w:rPr>
        <w:t>；毕业生</w:t>
      </w:r>
      <w:r>
        <w:t>关注的</w:t>
      </w:r>
      <w:r>
        <w:rPr>
          <w:rFonts w:hint="eastAsia"/>
        </w:rPr>
        <w:t>其他</w:t>
      </w:r>
      <w:r>
        <w:t>因素</w:t>
      </w:r>
      <w:r>
        <w:rPr>
          <w:rFonts w:hint="eastAsia"/>
        </w:rPr>
        <w:t>中</w:t>
      </w:r>
      <w:r>
        <w:t>，相比较而言，</w:t>
      </w:r>
      <w:r>
        <w:rPr>
          <w:rFonts w:hint="eastAsia"/>
        </w:rPr>
        <w:t>本科</w:t>
      </w:r>
      <w:r>
        <w:t>生更加关注社会保障</w:t>
      </w:r>
      <w:r>
        <w:rPr>
          <w:rFonts w:hint="eastAsia"/>
        </w:rPr>
        <w:t>、</w:t>
      </w:r>
      <w:r>
        <w:t>单位培训</w:t>
      </w:r>
      <w:r>
        <w:rPr>
          <w:rFonts w:hint="eastAsia"/>
        </w:rPr>
        <w:t>、</w:t>
      </w:r>
      <w:r>
        <w:t>单位的社会声望，而专科生更加关注就业地理位置和父母期望。</w:t>
      </w:r>
      <w:r>
        <w:rPr>
          <w:rFonts w:hint="eastAsia"/>
        </w:rPr>
        <w:t>详见表3</w:t>
      </w:r>
      <w:r>
        <w:t>-5。</w:t>
      </w:r>
    </w:p>
    <w:p>
      <w:pPr>
        <w:pStyle w:val="8"/>
        <w:jc w:val="center"/>
        <w:rPr>
          <w:rFonts w:asciiTheme="minorEastAsia" w:hAnsiTheme="minorEastAsia" w:eastAsiaTheme="minorEastAsia"/>
          <w:sz w:val="18"/>
          <w:szCs w:val="18"/>
        </w:rPr>
      </w:pPr>
      <w:bookmarkStart w:id="178" w:name="_Toc470886982"/>
      <w:r>
        <w:rPr>
          <w:rFonts w:hint="eastAsia" w:asciiTheme="minorEastAsia" w:hAnsiTheme="minorEastAsia" w:eastAsiaTheme="minorEastAsia"/>
          <w:sz w:val="18"/>
          <w:szCs w:val="18"/>
        </w:rPr>
        <w:t>表3-</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表3-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5</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未就业毕业生</w:t>
      </w:r>
      <w:r>
        <w:rPr>
          <w:rFonts w:asciiTheme="minorEastAsia" w:hAnsiTheme="minorEastAsia" w:eastAsiaTheme="minorEastAsia"/>
          <w:sz w:val="18"/>
          <w:szCs w:val="18"/>
        </w:rPr>
        <w:t>求职关注因素</w:t>
      </w:r>
      <w:bookmarkEnd w:id="178"/>
    </w:p>
    <w:tbl>
      <w:tblPr>
        <w:tblStyle w:val="50"/>
        <w:tblW w:w="8296" w:type="dxa"/>
        <w:tblInd w:w="0" w:type="dxa"/>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
      <w:tblGrid>
        <w:gridCol w:w="2708"/>
        <w:gridCol w:w="1863"/>
        <w:gridCol w:w="1863"/>
        <w:gridCol w:w="1862"/>
      </w:tblGrid>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708" w:type="dxa"/>
            <w:tcBorders>
              <w:top w:val="single" w:color="ED7D31" w:themeColor="accent2" w:sz="4" w:space="0"/>
              <w:left w:val="single" w:color="ED7D31" w:themeColor="accent2" w:sz="4" w:space="0"/>
              <w:bottom w:val="single" w:color="ED7D31" w:themeColor="accent2" w:sz="4" w:space="0"/>
              <w:right w:val="nil"/>
              <w:insideH w:val="single" w:sz="4" w:space="0"/>
              <w:insideV w:val="nil"/>
            </w:tcBorders>
            <w:shd w:val="clear" w:color="auto" w:fill="ED7D31" w:themeFill="accent2"/>
            <w:vAlign w:val="center"/>
          </w:tcPr>
          <w:p>
            <w:pPr>
              <w:widowControl/>
              <w:jc w:val="center"/>
              <w:rPr>
                <w:rFonts w:ascii="宋体" w:hAnsi="宋体" w:eastAsia="宋体" w:cs="宋体"/>
                <w:b/>
                <w:bCs/>
                <w:color w:val="FFFFFF" w:themeColor="background1"/>
                <w:kern w:val="0"/>
                <w:sz w:val="18"/>
                <w:szCs w:val="18"/>
                <w14:textFill>
                  <w14:solidFill>
                    <w14:schemeClr w14:val="bg1"/>
                  </w14:solidFill>
                </w14:textFill>
              </w:rPr>
            </w:pPr>
            <w:r>
              <w:rPr>
                <w:rFonts w:hint="eastAsia" w:ascii="宋体" w:hAnsi="宋体" w:eastAsia="宋体" w:cs="宋体"/>
                <w:b/>
                <w:bCs/>
                <w:color w:val="FFFFFF" w:themeColor="background1"/>
                <w:kern w:val="0"/>
                <w:sz w:val="18"/>
                <w:szCs w:val="18"/>
                <w14:textFill>
                  <w14:solidFill>
                    <w14:schemeClr w14:val="bg1"/>
                  </w14:solidFill>
                </w14:textFill>
              </w:rPr>
              <w:t>关注因素</w:t>
            </w:r>
          </w:p>
        </w:tc>
        <w:tc>
          <w:tcPr>
            <w:tcW w:w="1863" w:type="dxa"/>
            <w:tcBorders>
              <w:top w:val="single" w:color="ED7D31" w:themeColor="accent2" w:sz="4" w:space="0"/>
              <w:bottom w:val="single" w:color="ED7D31" w:themeColor="accent2" w:sz="4" w:space="0"/>
              <w:right w:val="nil"/>
              <w:insideH w:val="single" w:sz="4" w:space="0"/>
              <w:insideV w:val="nil"/>
            </w:tcBorders>
            <w:shd w:val="clear" w:color="auto" w:fill="ED7D31" w:themeFill="accent2"/>
            <w:vAlign w:val="center"/>
          </w:tcPr>
          <w:p>
            <w:pPr>
              <w:widowControl/>
              <w:jc w:val="center"/>
              <w:rPr>
                <w:rFonts w:ascii="宋体" w:hAnsi="宋体" w:eastAsia="宋体" w:cs="宋体"/>
                <w:b/>
                <w:bCs/>
                <w:color w:val="FFFFFF" w:themeColor="background1"/>
                <w:kern w:val="0"/>
                <w:sz w:val="18"/>
                <w:szCs w:val="18"/>
                <w14:textFill>
                  <w14:solidFill>
                    <w14:schemeClr w14:val="bg1"/>
                  </w14:solidFill>
                </w14:textFill>
              </w:rPr>
            </w:pPr>
            <w:r>
              <w:rPr>
                <w:rFonts w:hint="eastAsia" w:ascii="宋体" w:hAnsi="宋体" w:eastAsia="宋体" w:cs="宋体"/>
                <w:b/>
                <w:bCs/>
                <w:color w:val="FFFFFF" w:themeColor="background1"/>
                <w:kern w:val="0"/>
                <w:sz w:val="18"/>
                <w:szCs w:val="18"/>
                <w14:textFill>
                  <w14:solidFill>
                    <w14:schemeClr w14:val="bg1"/>
                  </w14:solidFill>
                </w14:textFill>
              </w:rPr>
              <w:t>本科生毕业</w:t>
            </w:r>
          </w:p>
        </w:tc>
        <w:tc>
          <w:tcPr>
            <w:tcW w:w="1863" w:type="dxa"/>
            <w:tcBorders>
              <w:top w:val="single" w:color="ED7D31" w:themeColor="accent2" w:sz="4" w:space="0"/>
              <w:bottom w:val="single" w:color="ED7D31" w:themeColor="accent2" w:sz="4" w:space="0"/>
              <w:right w:val="nil"/>
              <w:insideH w:val="single" w:sz="4" w:space="0"/>
              <w:insideV w:val="nil"/>
            </w:tcBorders>
            <w:shd w:val="clear" w:color="auto" w:fill="ED7D31" w:themeFill="accent2"/>
            <w:vAlign w:val="center"/>
          </w:tcPr>
          <w:p>
            <w:pPr>
              <w:widowControl/>
              <w:jc w:val="center"/>
              <w:rPr>
                <w:rFonts w:ascii="宋体" w:hAnsi="宋体" w:eastAsia="宋体" w:cs="宋体"/>
                <w:b/>
                <w:bCs/>
                <w:color w:val="FFFFFF" w:themeColor="background1"/>
                <w:kern w:val="0"/>
                <w:sz w:val="18"/>
                <w:szCs w:val="18"/>
                <w14:textFill>
                  <w14:solidFill>
                    <w14:schemeClr w14:val="bg1"/>
                  </w14:solidFill>
                </w14:textFill>
              </w:rPr>
            </w:pPr>
            <w:r>
              <w:rPr>
                <w:rFonts w:hint="eastAsia" w:ascii="宋体" w:hAnsi="宋体" w:eastAsia="宋体" w:cs="宋体"/>
                <w:b/>
                <w:bCs/>
                <w:color w:val="FFFFFF" w:themeColor="background1"/>
                <w:kern w:val="0"/>
                <w:sz w:val="18"/>
                <w:szCs w:val="18"/>
                <w14:textFill>
                  <w14:solidFill>
                    <w14:schemeClr w14:val="bg1"/>
                  </w14:solidFill>
                </w14:textFill>
              </w:rPr>
              <w:t>专科生毕业</w:t>
            </w:r>
          </w:p>
        </w:tc>
        <w:tc>
          <w:tcPr>
            <w:tcW w:w="1862" w:type="dxa"/>
            <w:tcBorders>
              <w:top w:val="single" w:color="ED7D31" w:themeColor="accent2" w:sz="4" w:space="0"/>
              <w:bottom w:val="single" w:color="ED7D31" w:themeColor="accent2" w:sz="4" w:space="0"/>
              <w:right w:val="single" w:color="ED7D31" w:themeColor="accent2" w:sz="4" w:space="0"/>
              <w:insideH w:val="single" w:sz="4" w:space="0"/>
              <w:insideV w:val="nil"/>
            </w:tcBorders>
            <w:shd w:val="clear" w:color="auto" w:fill="ED7D31" w:themeFill="accent2"/>
            <w:vAlign w:val="center"/>
          </w:tcPr>
          <w:p>
            <w:pPr>
              <w:widowControl/>
              <w:jc w:val="center"/>
              <w:rPr>
                <w:rFonts w:ascii="宋体" w:hAnsi="宋体" w:eastAsia="宋体" w:cs="宋体"/>
                <w:b/>
                <w:bCs/>
                <w:color w:val="FFFFFF" w:themeColor="background1"/>
                <w:kern w:val="0"/>
                <w:sz w:val="18"/>
                <w:szCs w:val="18"/>
                <w14:textFill>
                  <w14:solidFill>
                    <w14:schemeClr w14:val="bg1"/>
                  </w14:solidFill>
                </w14:textFill>
              </w:rPr>
            </w:pPr>
            <w:r>
              <w:rPr>
                <w:rFonts w:hint="eastAsia" w:ascii="宋体" w:hAnsi="宋体" w:eastAsia="宋体" w:cs="宋体"/>
                <w:b/>
                <w:bCs/>
                <w:color w:val="FFFFFF" w:themeColor="background1"/>
                <w:kern w:val="0"/>
                <w:sz w:val="18"/>
                <w:szCs w:val="18"/>
                <w14:textFill>
                  <w14:solidFill>
                    <w14:schemeClr w14:val="bg1"/>
                  </w14:solidFill>
                </w14:textFill>
              </w:rPr>
              <w:t>总计</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708" w:type="dxa"/>
            <w:shd w:val="clear" w:color="auto" w:fill="FBE4D5" w:themeFill="accent2" w:themeFillTint="33"/>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薪酬水平</w:t>
            </w:r>
          </w:p>
        </w:tc>
        <w:tc>
          <w:tcPr>
            <w:tcW w:w="1863"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26.58</w:t>
            </w:r>
          </w:p>
        </w:tc>
        <w:tc>
          <w:tcPr>
            <w:tcW w:w="1863"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24.64</w:t>
            </w:r>
          </w:p>
        </w:tc>
        <w:tc>
          <w:tcPr>
            <w:tcW w:w="186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26.52</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708" w:type="dxa"/>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单位的发展空间</w:t>
            </w:r>
          </w:p>
        </w:tc>
        <w:tc>
          <w:tcPr>
            <w:tcW w:w="1863"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19.23</w:t>
            </w:r>
          </w:p>
        </w:tc>
        <w:tc>
          <w:tcPr>
            <w:tcW w:w="1863"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17.39</w:t>
            </w:r>
          </w:p>
        </w:tc>
        <w:tc>
          <w:tcPr>
            <w:tcW w:w="186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19.17</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708" w:type="dxa"/>
            <w:shd w:val="clear" w:color="auto" w:fill="FBE4D5" w:themeFill="accent2" w:themeFillTint="33"/>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工作环境</w:t>
            </w:r>
          </w:p>
        </w:tc>
        <w:tc>
          <w:tcPr>
            <w:tcW w:w="1863"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12.85</w:t>
            </w:r>
          </w:p>
        </w:tc>
        <w:tc>
          <w:tcPr>
            <w:tcW w:w="1863"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20.29</w:t>
            </w:r>
          </w:p>
        </w:tc>
        <w:tc>
          <w:tcPr>
            <w:tcW w:w="186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13.08</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708" w:type="dxa"/>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工作稳定度</w:t>
            </w:r>
          </w:p>
        </w:tc>
        <w:tc>
          <w:tcPr>
            <w:tcW w:w="1863"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11.64</w:t>
            </w:r>
          </w:p>
        </w:tc>
        <w:tc>
          <w:tcPr>
            <w:tcW w:w="1863"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11.59</w:t>
            </w:r>
          </w:p>
        </w:tc>
        <w:tc>
          <w:tcPr>
            <w:tcW w:w="186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11.64</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708" w:type="dxa"/>
            <w:shd w:val="clear" w:color="auto" w:fill="FBE4D5" w:themeFill="accent2" w:themeFillTint="33"/>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社会保障</w:t>
            </w:r>
          </w:p>
        </w:tc>
        <w:tc>
          <w:tcPr>
            <w:tcW w:w="1863"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11.55</w:t>
            </w:r>
          </w:p>
        </w:tc>
        <w:tc>
          <w:tcPr>
            <w:tcW w:w="1863"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7.25</w:t>
            </w:r>
          </w:p>
        </w:tc>
        <w:tc>
          <w:tcPr>
            <w:tcW w:w="186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11.41</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708" w:type="dxa"/>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就业地理位置</w:t>
            </w:r>
          </w:p>
        </w:tc>
        <w:tc>
          <w:tcPr>
            <w:tcW w:w="1863"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10.52</w:t>
            </w:r>
          </w:p>
        </w:tc>
        <w:tc>
          <w:tcPr>
            <w:tcW w:w="1863"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11.59</w:t>
            </w:r>
          </w:p>
        </w:tc>
        <w:tc>
          <w:tcPr>
            <w:tcW w:w="186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10.55</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708" w:type="dxa"/>
            <w:shd w:val="clear" w:color="auto" w:fill="FBE4D5" w:themeFill="accent2" w:themeFillTint="33"/>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单位培训</w:t>
            </w:r>
          </w:p>
        </w:tc>
        <w:tc>
          <w:tcPr>
            <w:tcW w:w="1863"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3.45</w:t>
            </w:r>
          </w:p>
        </w:tc>
        <w:tc>
          <w:tcPr>
            <w:tcW w:w="1863"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1.45</w:t>
            </w:r>
          </w:p>
        </w:tc>
        <w:tc>
          <w:tcPr>
            <w:tcW w:w="186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3.38</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708" w:type="dxa"/>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单位的社会声望</w:t>
            </w:r>
          </w:p>
        </w:tc>
        <w:tc>
          <w:tcPr>
            <w:tcW w:w="1863"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2.47</w:t>
            </w:r>
          </w:p>
        </w:tc>
        <w:tc>
          <w:tcPr>
            <w:tcW w:w="1863"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1.45</w:t>
            </w:r>
          </w:p>
        </w:tc>
        <w:tc>
          <w:tcPr>
            <w:tcW w:w="186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2.44</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708" w:type="dxa"/>
            <w:shd w:val="clear" w:color="auto" w:fill="FBE4D5" w:themeFill="accent2" w:themeFillTint="33"/>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父母期望</w:t>
            </w:r>
          </w:p>
        </w:tc>
        <w:tc>
          <w:tcPr>
            <w:tcW w:w="1863"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1.21</w:t>
            </w:r>
          </w:p>
        </w:tc>
        <w:tc>
          <w:tcPr>
            <w:tcW w:w="1863"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4.35</w:t>
            </w:r>
          </w:p>
        </w:tc>
        <w:tc>
          <w:tcPr>
            <w:tcW w:w="186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1.31</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708" w:type="dxa"/>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其他</w:t>
            </w:r>
          </w:p>
        </w:tc>
        <w:tc>
          <w:tcPr>
            <w:tcW w:w="1863"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0.51</w:t>
            </w:r>
          </w:p>
        </w:tc>
        <w:tc>
          <w:tcPr>
            <w:tcW w:w="1863"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86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0.50</w:t>
            </w:r>
          </w:p>
        </w:tc>
      </w:tr>
    </w:tbl>
    <w:p>
      <w:pPr>
        <w:rPr>
          <w:sz w:val="18"/>
          <w:szCs w:val="18"/>
        </w:rPr>
      </w:pPr>
      <w:r>
        <w:rPr>
          <w:rFonts w:hint="eastAsia"/>
          <w:sz w:val="18"/>
          <w:szCs w:val="18"/>
        </w:rPr>
        <w:t>备注</w:t>
      </w:r>
      <w:r>
        <w:rPr>
          <w:sz w:val="18"/>
          <w:szCs w:val="18"/>
        </w:rPr>
        <w:t>：表中数据均表示百分比</w:t>
      </w:r>
    </w:p>
    <w:p>
      <w:pPr>
        <w:pStyle w:val="30"/>
      </w:pPr>
      <w:bookmarkStart w:id="179" w:name="_Toc469038373"/>
      <w:bookmarkStart w:id="180" w:name="_Toc471310951"/>
      <w:r>
        <w:rPr>
          <w:rFonts w:hint="eastAsia"/>
        </w:rPr>
        <w:t>（二）求职遇到</w:t>
      </w:r>
      <w:r>
        <w:t>的困难</w:t>
      </w:r>
      <w:bookmarkEnd w:id="179"/>
      <w:bookmarkEnd w:id="180"/>
    </w:p>
    <w:p>
      <w:pPr>
        <w:pStyle w:val="40"/>
      </w:pPr>
      <w:r>
        <w:rPr>
          <w:rFonts w:hint="eastAsia"/>
        </w:rPr>
        <w:t>根据</w:t>
      </w:r>
      <w:r>
        <w:t>调研数据，毕业生在求职过程中遇到的</w:t>
      </w:r>
      <w:r>
        <w:rPr>
          <w:rFonts w:hint="eastAsia"/>
        </w:rPr>
        <w:t>最</w:t>
      </w:r>
      <w:r>
        <w:t>主要</w:t>
      </w:r>
      <w:r>
        <w:rPr>
          <w:rFonts w:hint="eastAsia"/>
        </w:rPr>
        <w:t>的</w:t>
      </w:r>
      <w:r>
        <w:t>困难</w:t>
      </w:r>
      <w:r>
        <w:rPr>
          <w:rFonts w:hint="eastAsia"/>
        </w:rPr>
        <w:t>是“缺乏实践经验”，</w:t>
      </w:r>
      <w:r>
        <w:t>其次是</w:t>
      </w:r>
      <w:r>
        <w:rPr>
          <w:rFonts w:hint="eastAsia"/>
        </w:rPr>
        <w:t>“适合自己专业和学历的岗位不多”“用人单位待遇和条件不符合预期”，</w:t>
      </w:r>
      <w:r>
        <w:t>还有其他的一些因素</w:t>
      </w:r>
      <w:r>
        <w:rPr>
          <w:rFonts w:hint="eastAsia"/>
        </w:rPr>
        <w:t>在</w:t>
      </w:r>
      <w:r>
        <w:t>毕业生求职过程中</w:t>
      </w:r>
      <w:r>
        <w:rPr>
          <w:rFonts w:hint="eastAsia"/>
        </w:rPr>
        <w:t>对毕业生</w:t>
      </w:r>
      <w:r>
        <w:t>造成了一定的困扰，</w:t>
      </w:r>
      <w:r>
        <w:rPr>
          <w:rFonts w:hint="eastAsia"/>
        </w:rPr>
        <w:t>如“与父母意愿相悖”“存在就业歧视”等</w:t>
      </w:r>
      <w:r>
        <w:t>。</w:t>
      </w:r>
      <w:r>
        <w:rPr>
          <w:rFonts w:hint="eastAsia"/>
        </w:rPr>
        <w:t>详细</w:t>
      </w:r>
      <w:r>
        <w:t>数据见图</w:t>
      </w:r>
      <w:r>
        <w:rPr>
          <w:rFonts w:hint="eastAsia"/>
        </w:rPr>
        <w:t>3</w:t>
      </w:r>
      <w:r>
        <w:t>-24。</w:t>
      </w:r>
    </w:p>
    <w:p>
      <w:pPr>
        <w:jc w:val="center"/>
      </w:pPr>
      <w:r>
        <w:drawing>
          <wp:inline distT="0" distB="0" distL="0" distR="0">
            <wp:extent cx="4572000" cy="2743200"/>
            <wp:effectExtent l="0" t="0" r="0" b="0"/>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pStyle w:val="8"/>
        <w:jc w:val="center"/>
        <w:rPr>
          <w:rFonts w:asciiTheme="minorEastAsia" w:hAnsiTheme="minorEastAsia" w:eastAsiaTheme="minorEastAsia"/>
          <w:sz w:val="18"/>
          <w:szCs w:val="18"/>
        </w:rPr>
      </w:pPr>
      <w:bookmarkStart w:id="181" w:name="_Toc470887042"/>
      <w:r>
        <w:rPr>
          <w:rFonts w:hint="eastAsia" w:asciiTheme="minorEastAsia" w:hAnsiTheme="minorEastAsia" w:eastAsiaTheme="minorEastAsia"/>
          <w:sz w:val="18"/>
          <w:szCs w:val="18"/>
        </w:rPr>
        <w:t>图3-</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图3-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24</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未就业毕业生</w:t>
      </w:r>
      <w:r>
        <w:rPr>
          <w:rFonts w:asciiTheme="minorEastAsia" w:hAnsiTheme="minorEastAsia" w:eastAsiaTheme="minorEastAsia"/>
          <w:sz w:val="18"/>
          <w:szCs w:val="18"/>
        </w:rPr>
        <w:t>求职</w:t>
      </w:r>
      <w:r>
        <w:rPr>
          <w:rFonts w:hint="eastAsia" w:asciiTheme="minorEastAsia" w:hAnsiTheme="minorEastAsia" w:eastAsiaTheme="minorEastAsia"/>
          <w:sz w:val="18"/>
          <w:szCs w:val="18"/>
        </w:rPr>
        <w:t>遇到的</w:t>
      </w:r>
      <w:r>
        <w:rPr>
          <w:rFonts w:asciiTheme="minorEastAsia" w:hAnsiTheme="minorEastAsia" w:eastAsiaTheme="minorEastAsia"/>
          <w:sz w:val="18"/>
          <w:szCs w:val="18"/>
        </w:rPr>
        <w:t>困难</w:t>
      </w:r>
      <w:bookmarkEnd w:id="181"/>
    </w:p>
    <w:p>
      <w:pPr>
        <w:jc w:val="center"/>
      </w:pPr>
    </w:p>
    <w:p>
      <w:pPr>
        <w:pStyle w:val="30"/>
      </w:pPr>
      <w:bookmarkStart w:id="182" w:name="_Toc469038374"/>
      <w:bookmarkStart w:id="183" w:name="_Toc471310952"/>
      <w:r>
        <w:rPr>
          <w:rFonts w:hint="eastAsia"/>
        </w:rPr>
        <w:t>（三）尚未</w:t>
      </w:r>
      <w:r>
        <w:t>就业原因</w:t>
      </w:r>
      <w:bookmarkEnd w:id="182"/>
      <w:bookmarkEnd w:id="183"/>
    </w:p>
    <w:p>
      <w:pPr>
        <w:pStyle w:val="40"/>
      </w:pPr>
      <w:r>
        <w:rPr>
          <w:rFonts w:hint="eastAsia"/>
        </w:rPr>
        <w:t>调研数据</w:t>
      </w:r>
      <w:r>
        <w:t>显示，毕业生尚未就业的</w:t>
      </w:r>
      <w:r>
        <w:rPr>
          <w:rFonts w:hint="eastAsia"/>
        </w:rPr>
        <w:t>最主要</w:t>
      </w:r>
      <w:r>
        <w:t>原因是</w:t>
      </w:r>
      <w:r>
        <w:rPr>
          <w:rFonts w:hint="eastAsia"/>
        </w:rPr>
        <w:t>“正在择业尚未落实就业单位”，</w:t>
      </w:r>
      <w:r>
        <w:t>其次是</w:t>
      </w:r>
      <w:r>
        <w:rPr>
          <w:rFonts w:hint="eastAsia"/>
        </w:rPr>
        <w:t>“在准备公务员、事业单位招考”，</w:t>
      </w:r>
      <w:r>
        <w:t>还有一</w:t>
      </w:r>
      <w:r>
        <w:rPr>
          <w:rFonts w:hint="eastAsia"/>
        </w:rPr>
        <w:t>少</w:t>
      </w:r>
      <w:r>
        <w:t>部分毕业生是</w:t>
      </w:r>
      <w:r>
        <w:rPr>
          <w:rFonts w:hint="eastAsia"/>
        </w:rPr>
        <w:t>“在准备出国”和“准备</w:t>
      </w:r>
      <w:r>
        <w:t>创业</w:t>
      </w:r>
      <w:r>
        <w:rPr>
          <w:rFonts w:hint="eastAsia"/>
        </w:rPr>
        <w:t>”。</w:t>
      </w:r>
      <w:r>
        <w:t>详见</w:t>
      </w:r>
      <w:r>
        <w:rPr>
          <w:rFonts w:hint="eastAsia"/>
        </w:rPr>
        <w:t>图3</w:t>
      </w:r>
      <w:r>
        <w:t>-25。</w:t>
      </w:r>
    </w:p>
    <w:p>
      <w:pPr>
        <w:jc w:val="center"/>
      </w:pPr>
      <w:r>
        <w:drawing>
          <wp:inline distT="0" distB="0" distL="0" distR="0">
            <wp:extent cx="4838700" cy="3057525"/>
            <wp:effectExtent l="0" t="0" r="0" b="9525"/>
            <wp:docPr id="76" name="图表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pStyle w:val="8"/>
        <w:jc w:val="center"/>
        <w:rPr>
          <w:rFonts w:asciiTheme="minorEastAsia" w:hAnsiTheme="minorEastAsia" w:eastAsiaTheme="minorEastAsia"/>
          <w:sz w:val="18"/>
          <w:szCs w:val="18"/>
        </w:rPr>
      </w:pPr>
      <w:bookmarkStart w:id="184" w:name="_Toc470887043"/>
      <w:r>
        <w:rPr>
          <w:rFonts w:hint="eastAsia" w:asciiTheme="minorEastAsia" w:hAnsiTheme="minorEastAsia" w:eastAsiaTheme="minorEastAsia"/>
          <w:sz w:val="18"/>
          <w:szCs w:val="18"/>
        </w:rPr>
        <w:t>图3-</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图3-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25</w:t>
      </w:r>
      <w:r>
        <w:rPr>
          <w:rFonts w:asciiTheme="minorEastAsia" w:hAnsiTheme="minorEastAsia" w:eastAsiaTheme="minorEastAsia"/>
          <w:sz w:val="18"/>
          <w:szCs w:val="18"/>
        </w:rPr>
        <w:fldChar w:fldCharType="end"/>
      </w:r>
      <w:r>
        <w:rPr>
          <w:rFonts w:hint="eastAsia" w:asciiTheme="minorEastAsia" w:hAnsiTheme="minorEastAsia" w:eastAsiaTheme="minorEastAsia"/>
          <w:sz w:val="18"/>
          <w:szCs w:val="18"/>
        </w:rPr>
        <w:t>未就业</w:t>
      </w:r>
      <w:r>
        <w:rPr>
          <w:rFonts w:asciiTheme="minorEastAsia" w:hAnsiTheme="minorEastAsia" w:eastAsiaTheme="minorEastAsia"/>
          <w:sz w:val="18"/>
          <w:szCs w:val="18"/>
        </w:rPr>
        <w:t>毕业生尚未就业原因</w:t>
      </w:r>
      <w:bookmarkEnd w:id="184"/>
    </w:p>
    <w:p>
      <w:pPr>
        <w:pStyle w:val="30"/>
      </w:pPr>
      <w:bookmarkStart w:id="185" w:name="_Toc469038375"/>
      <w:bookmarkStart w:id="186" w:name="_Toc471310953"/>
      <w:r>
        <w:rPr>
          <w:rFonts w:hint="eastAsia"/>
        </w:rPr>
        <w:t>（四）择业定位</w:t>
      </w:r>
      <w:bookmarkEnd w:id="185"/>
      <w:bookmarkEnd w:id="186"/>
    </w:p>
    <w:p>
      <w:pPr>
        <w:pStyle w:val="40"/>
      </w:pPr>
      <w:r>
        <w:rPr>
          <w:rFonts w:hint="eastAsia"/>
        </w:rPr>
        <w:t>调研数据</w:t>
      </w:r>
      <w:r>
        <w:t>显示，总体而言，毕业生择业定位主要是在</w:t>
      </w:r>
      <w:r>
        <w:rPr>
          <w:rFonts w:hint="eastAsia"/>
        </w:rPr>
        <w:t>“其它事业单位”“国有企业”和“政府机关”；</w:t>
      </w:r>
      <w:r>
        <w:t>分学历来看，</w:t>
      </w:r>
      <w:r>
        <w:rPr>
          <w:rFonts w:hint="eastAsia"/>
        </w:rPr>
        <w:t>本科生</w:t>
      </w:r>
      <w:r>
        <w:t>择业定位前三位</w:t>
      </w:r>
      <w:r>
        <w:rPr>
          <w:rFonts w:hint="eastAsia"/>
        </w:rPr>
        <w:t>与总体</w:t>
      </w:r>
      <w:r>
        <w:t>保持一致，而专科生择业前三位是</w:t>
      </w:r>
      <w:r>
        <w:rPr>
          <w:rFonts w:hint="eastAsia"/>
        </w:rPr>
        <w:t>“国有企业”“社会组织”和“其它事业单位”；</w:t>
      </w:r>
      <w:r>
        <w:t>专科生</w:t>
      </w:r>
      <w:r>
        <w:rPr>
          <w:rFonts w:hint="eastAsia"/>
        </w:rPr>
        <w:t>职位</w:t>
      </w:r>
      <w:r>
        <w:t>定位为</w:t>
      </w:r>
      <w:r>
        <w:rPr>
          <w:rFonts w:hint="eastAsia"/>
        </w:rPr>
        <w:t>“</w:t>
      </w:r>
      <w:r>
        <w:t>自主创业</w:t>
      </w:r>
      <w:r>
        <w:rPr>
          <w:rFonts w:hint="eastAsia"/>
        </w:rPr>
        <w:t>”</w:t>
      </w:r>
      <w:r>
        <w:t>的比例远高于本科生，</w:t>
      </w:r>
      <w:r>
        <w:rPr>
          <w:rFonts w:hint="eastAsia"/>
        </w:rPr>
        <w:t>但“出国”的</w:t>
      </w:r>
      <w:r>
        <w:t>比例却低于本科生。详见图</w:t>
      </w:r>
      <w:r>
        <w:rPr>
          <w:rFonts w:hint="eastAsia"/>
        </w:rPr>
        <w:t>3</w:t>
      </w:r>
      <w:r>
        <w:t>-26</w:t>
      </w:r>
      <w:r>
        <w:rPr>
          <w:rFonts w:hint="eastAsia"/>
        </w:rPr>
        <w:t>。</w:t>
      </w:r>
    </w:p>
    <w:p>
      <w:pPr>
        <w:jc w:val="center"/>
      </w:pPr>
      <w:r>
        <w:drawing>
          <wp:inline distT="0" distB="0" distL="0" distR="0">
            <wp:extent cx="4572000" cy="2743200"/>
            <wp:effectExtent l="0" t="0" r="0" b="0"/>
            <wp:docPr id="40" name="图表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pPr>
        <w:pStyle w:val="8"/>
        <w:jc w:val="center"/>
        <w:rPr>
          <w:rFonts w:asciiTheme="minorEastAsia" w:hAnsiTheme="minorEastAsia" w:eastAsiaTheme="minorEastAsia"/>
          <w:sz w:val="18"/>
          <w:szCs w:val="18"/>
        </w:rPr>
      </w:pPr>
      <w:bookmarkStart w:id="187" w:name="_Toc470887044"/>
      <w:r>
        <w:rPr>
          <w:rFonts w:hint="eastAsia" w:asciiTheme="minorEastAsia" w:hAnsiTheme="minorEastAsia" w:eastAsiaTheme="minorEastAsia"/>
          <w:sz w:val="18"/>
          <w:szCs w:val="18"/>
        </w:rPr>
        <w:t>图3-</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图3-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26</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未就业</w:t>
      </w:r>
      <w:r>
        <w:rPr>
          <w:rFonts w:asciiTheme="minorEastAsia" w:hAnsiTheme="minorEastAsia" w:eastAsiaTheme="minorEastAsia"/>
          <w:sz w:val="18"/>
          <w:szCs w:val="18"/>
        </w:rPr>
        <w:t>毕业生</w:t>
      </w:r>
      <w:r>
        <w:rPr>
          <w:rFonts w:hint="eastAsia" w:asciiTheme="minorEastAsia" w:hAnsiTheme="minorEastAsia" w:eastAsiaTheme="minorEastAsia"/>
          <w:sz w:val="18"/>
          <w:szCs w:val="18"/>
        </w:rPr>
        <w:t>择业定位</w:t>
      </w:r>
      <w:bookmarkEnd w:id="187"/>
    </w:p>
    <w:p>
      <w:pPr>
        <w:pStyle w:val="30"/>
      </w:pPr>
      <w:bookmarkStart w:id="188" w:name="_Toc471310954"/>
      <w:bookmarkStart w:id="189" w:name="_Toc469038376"/>
      <w:r>
        <w:rPr>
          <w:rFonts w:hint="eastAsia"/>
        </w:rPr>
        <w:t>（五）就业</w:t>
      </w:r>
      <w:r>
        <w:t>地域</w:t>
      </w:r>
      <w:r>
        <w:rPr>
          <w:rFonts w:hint="eastAsia"/>
        </w:rPr>
        <w:t>选择</w:t>
      </w:r>
      <w:bookmarkEnd w:id="188"/>
      <w:bookmarkEnd w:id="189"/>
    </w:p>
    <w:p>
      <w:pPr>
        <w:pStyle w:val="40"/>
      </w:pPr>
      <w:r>
        <w:rPr>
          <w:rFonts w:hint="eastAsia"/>
        </w:rPr>
        <w:t>调研数据</w:t>
      </w:r>
      <w:r>
        <w:t>显示，毕业生在选择就业地域</w:t>
      </w:r>
      <w:r>
        <w:rPr>
          <w:rFonts w:hint="eastAsia"/>
        </w:rPr>
        <w:t>时，有</w:t>
      </w:r>
      <w:r>
        <w:t>34.10%</w:t>
      </w:r>
      <w:r>
        <w:rPr>
          <w:rFonts w:hint="eastAsia"/>
        </w:rPr>
        <w:t>的</w:t>
      </w:r>
      <w:r>
        <w:t>毕业生希望回原籍与家人一起，31.26%</w:t>
      </w:r>
      <w:r>
        <w:rPr>
          <w:rFonts w:hint="eastAsia"/>
        </w:rPr>
        <w:t>的</w:t>
      </w:r>
      <w:r>
        <w:t>毕业生希望到机会更多</w:t>
      </w:r>
      <w:r>
        <w:rPr>
          <w:rFonts w:hint="eastAsia"/>
        </w:rPr>
        <w:t>的</w:t>
      </w:r>
      <w:r>
        <w:t>一线城市发展，</w:t>
      </w:r>
      <w:r>
        <w:rPr>
          <w:rFonts w:hint="eastAsia"/>
        </w:rPr>
        <w:t>也有</w:t>
      </w:r>
      <w:r>
        <w:t>一小部分毕业生希望到基层锻炼</w:t>
      </w:r>
      <w:r>
        <w:rPr>
          <w:rFonts w:hint="eastAsia"/>
        </w:rPr>
        <w:t>。</w:t>
      </w:r>
      <w:r>
        <w:t>详见图</w:t>
      </w:r>
      <w:r>
        <w:rPr>
          <w:rFonts w:hint="eastAsia"/>
        </w:rPr>
        <w:t>3</w:t>
      </w:r>
      <w:r>
        <w:t>-27</w:t>
      </w:r>
      <w:r>
        <w:rPr>
          <w:rFonts w:hint="eastAsia"/>
        </w:rPr>
        <w:t>。</w:t>
      </w:r>
    </w:p>
    <w:p>
      <w:pPr>
        <w:jc w:val="center"/>
      </w:pPr>
      <w:r>
        <w:drawing>
          <wp:inline distT="0" distB="0" distL="0" distR="0">
            <wp:extent cx="4572000" cy="2743200"/>
            <wp:effectExtent l="0" t="0" r="0" b="0"/>
            <wp:docPr id="41" name="图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pPr>
        <w:pStyle w:val="8"/>
        <w:jc w:val="center"/>
        <w:rPr>
          <w:rFonts w:asciiTheme="minorEastAsia" w:hAnsiTheme="minorEastAsia" w:eastAsiaTheme="minorEastAsia"/>
          <w:sz w:val="18"/>
          <w:szCs w:val="18"/>
        </w:rPr>
      </w:pPr>
      <w:bookmarkStart w:id="190" w:name="_Toc470887045"/>
      <w:r>
        <w:rPr>
          <w:rFonts w:hint="eastAsia" w:asciiTheme="minorEastAsia" w:hAnsiTheme="minorEastAsia" w:eastAsiaTheme="minorEastAsia"/>
          <w:sz w:val="18"/>
          <w:szCs w:val="18"/>
        </w:rPr>
        <w:t>图3-</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图3-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27</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未就业</w:t>
      </w:r>
      <w:r>
        <w:rPr>
          <w:rFonts w:asciiTheme="minorEastAsia" w:hAnsiTheme="minorEastAsia" w:eastAsiaTheme="minorEastAsia"/>
          <w:sz w:val="18"/>
          <w:szCs w:val="18"/>
        </w:rPr>
        <w:t>毕业生</w:t>
      </w:r>
      <w:r>
        <w:rPr>
          <w:rFonts w:hint="eastAsia" w:asciiTheme="minorEastAsia" w:hAnsiTheme="minorEastAsia" w:eastAsiaTheme="minorEastAsia"/>
          <w:sz w:val="18"/>
          <w:szCs w:val="18"/>
        </w:rPr>
        <w:t>就业</w:t>
      </w:r>
      <w:r>
        <w:rPr>
          <w:rFonts w:asciiTheme="minorEastAsia" w:hAnsiTheme="minorEastAsia" w:eastAsiaTheme="minorEastAsia"/>
          <w:sz w:val="18"/>
          <w:szCs w:val="18"/>
        </w:rPr>
        <w:t>地域</w:t>
      </w:r>
      <w:r>
        <w:rPr>
          <w:rFonts w:hint="eastAsia" w:asciiTheme="minorEastAsia" w:hAnsiTheme="minorEastAsia" w:eastAsiaTheme="minorEastAsia"/>
          <w:sz w:val="18"/>
          <w:szCs w:val="18"/>
        </w:rPr>
        <w:t>选择</w:t>
      </w:r>
      <w:bookmarkEnd w:id="190"/>
    </w:p>
    <w:p>
      <w:pPr>
        <w:pStyle w:val="40"/>
      </w:pPr>
    </w:p>
    <w:p>
      <w:pPr>
        <w:pStyle w:val="40"/>
      </w:pPr>
    </w:p>
    <w:p>
      <w:pPr>
        <w:pStyle w:val="40"/>
      </w:pPr>
    </w:p>
    <w:p>
      <w:pPr>
        <w:pStyle w:val="40"/>
      </w:pPr>
    </w:p>
    <w:p>
      <w:pPr>
        <w:pStyle w:val="40"/>
      </w:pPr>
    </w:p>
    <w:p>
      <w:pPr>
        <w:pStyle w:val="40"/>
      </w:pPr>
    </w:p>
    <w:p>
      <w:pPr>
        <w:pStyle w:val="40"/>
      </w:pPr>
    </w:p>
    <w:p>
      <w:pPr>
        <w:pStyle w:val="40"/>
      </w:pPr>
    </w:p>
    <w:p>
      <w:pPr>
        <w:pStyle w:val="40"/>
      </w:pPr>
    </w:p>
    <w:p>
      <w:pPr>
        <w:pStyle w:val="40"/>
      </w:pPr>
    </w:p>
    <w:p>
      <w:pPr>
        <w:pStyle w:val="40"/>
      </w:pPr>
    </w:p>
    <w:p>
      <w:pPr>
        <w:pStyle w:val="40"/>
      </w:pPr>
    </w:p>
    <w:p>
      <w:pPr>
        <w:pStyle w:val="40"/>
      </w:pPr>
    </w:p>
    <w:p>
      <w:pPr>
        <w:pStyle w:val="24"/>
      </w:pPr>
      <w:bookmarkStart w:id="191" w:name="_Toc471310955"/>
      <w:bookmarkStart w:id="192" w:name="_Toc469038377"/>
      <w:r>
        <w:rPr>
          <w:rFonts w:hint="eastAsia"/>
        </w:rPr>
        <w:t>第四章 毕业生</w:t>
      </w:r>
      <w:r>
        <w:t>就业趋势分析</w:t>
      </w:r>
      <w:bookmarkEnd w:id="191"/>
      <w:bookmarkEnd w:id="192"/>
    </w:p>
    <w:p>
      <w:pPr>
        <w:pStyle w:val="25"/>
      </w:pPr>
      <w:bookmarkStart w:id="193" w:name="_Toc471310956"/>
      <w:bookmarkStart w:id="194" w:name="_Toc469038378"/>
      <w:r>
        <w:rPr>
          <w:rFonts w:hint="eastAsia"/>
        </w:rPr>
        <w:t>一、2013-2016届</w:t>
      </w:r>
      <w:r>
        <w:t>毕业生初次就业率发展趋势分析</w:t>
      </w:r>
      <w:bookmarkEnd w:id="193"/>
      <w:bookmarkEnd w:id="194"/>
    </w:p>
    <w:p>
      <w:pPr>
        <w:pStyle w:val="40"/>
      </w:pPr>
      <w:r>
        <w:rPr>
          <w:rFonts w:hint="eastAsia"/>
        </w:rPr>
        <w:t>湖南</w:t>
      </w:r>
      <w:r>
        <w:t>商学院</w:t>
      </w:r>
      <w:r>
        <w:rPr>
          <w:rFonts w:hint="eastAsia"/>
        </w:rPr>
        <w:t>2013</w:t>
      </w:r>
      <w:r>
        <w:t>-2016</w:t>
      </w:r>
      <w:r>
        <w:rPr>
          <w:rFonts w:hint="eastAsia"/>
        </w:rPr>
        <w:t>届</w:t>
      </w:r>
      <w:r>
        <w:t>毕业生</w:t>
      </w:r>
      <w:r>
        <w:rPr>
          <w:rFonts w:hint="eastAsia"/>
        </w:rPr>
        <w:t>人数</w:t>
      </w:r>
      <w:r>
        <w:t>逐年</w:t>
      </w:r>
      <w:r>
        <w:rPr>
          <w:rFonts w:hint="eastAsia"/>
        </w:rPr>
        <w:t>递增，2016届</w:t>
      </w:r>
      <w:r>
        <w:t>毕业生人数突破</w:t>
      </w:r>
      <w:r>
        <w:rPr>
          <w:rFonts w:hint="eastAsia"/>
        </w:rPr>
        <w:t>3000人</w:t>
      </w:r>
      <w:r>
        <w:t>，达到</w:t>
      </w:r>
      <w:r>
        <w:rPr>
          <w:rFonts w:hint="eastAsia"/>
        </w:rPr>
        <w:t>3460人。就</w:t>
      </w:r>
      <w:r>
        <w:t>初次就业率来</w:t>
      </w:r>
      <w:r>
        <w:rPr>
          <w:rFonts w:hint="eastAsia"/>
        </w:rPr>
        <w:t>说</w:t>
      </w:r>
      <w:r>
        <w:t>，</w:t>
      </w:r>
      <w:r>
        <w:rPr>
          <w:rFonts w:hint="eastAsia"/>
        </w:rPr>
        <w:t>整体情况与</w:t>
      </w:r>
      <w:r>
        <w:t>毕业生人数</w:t>
      </w:r>
      <w:r>
        <w:rPr>
          <w:rFonts w:hint="eastAsia"/>
        </w:rPr>
        <w:t>发展趋势</w:t>
      </w:r>
      <w:r>
        <w:t>一致，</w:t>
      </w:r>
      <w:r>
        <w:rPr>
          <w:rFonts w:hint="eastAsia"/>
        </w:rPr>
        <w:t>也</w:t>
      </w:r>
      <w:r>
        <w:t>呈逐年上升趋势，具体来看，</w:t>
      </w:r>
      <w:r>
        <w:rPr>
          <w:rFonts w:hint="eastAsia"/>
        </w:rPr>
        <w:t>2014届</w:t>
      </w:r>
      <w:r>
        <w:t>较</w:t>
      </w:r>
      <w:r>
        <w:rPr>
          <w:rFonts w:hint="eastAsia"/>
        </w:rPr>
        <w:t>2013届</w:t>
      </w:r>
      <w:r>
        <w:t>增长幅度较大，</w:t>
      </w:r>
      <w:r>
        <w:rPr>
          <w:rFonts w:hint="eastAsia"/>
        </w:rPr>
        <w:t>2015届</w:t>
      </w:r>
      <w:r>
        <w:t>开始超过</w:t>
      </w:r>
      <w:r>
        <w:rPr>
          <w:rFonts w:hint="eastAsia"/>
        </w:rPr>
        <w:t>90.00</w:t>
      </w:r>
      <w:r>
        <w:t>%，达到</w:t>
      </w:r>
      <w:r>
        <w:rPr>
          <w:rFonts w:hint="eastAsia"/>
        </w:rPr>
        <w:t>91.99</w:t>
      </w:r>
      <w:r>
        <w:t>%，</w:t>
      </w:r>
      <w:r>
        <w:rPr>
          <w:rFonts w:hint="eastAsia"/>
        </w:rPr>
        <w:t>2015与2016届因为</w:t>
      </w:r>
      <w:r>
        <w:t>已达到较高水平，就业率上升趋势</w:t>
      </w:r>
      <w:r>
        <w:rPr>
          <w:rFonts w:hint="eastAsia"/>
        </w:rPr>
        <w:t>相对</w:t>
      </w:r>
      <w:r>
        <w:t>放缓，</w:t>
      </w:r>
      <w:r>
        <w:rPr>
          <w:rFonts w:hint="eastAsia"/>
        </w:rPr>
        <w:t>具体</w:t>
      </w:r>
      <w:r>
        <w:t>情况</w:t>
      </w:r>
      <w:r>
        <w:rPr>
          <w:rFonts w:hint="eastAsia"/>
        </w:rPr>
        <w:t>见</w:t>
      </w:r>
      <w:r>
        <w:t>图</w:t>
      </w:r>
      <w:r>
        <w:rPr>
          <w:rFonts w:hint="eastAsia"/>
        </w:rPr>
        <w:t>4</w:t>
      </w:r>
      <w:r>
        <w:t>-1。</w:t>
      </w:r>
    </w:p>
    <w:p>
      <w:pPr>
        <w:spacing w:before="156" w:after="156"/>
        <w:jc w:val="center"/>
        <w:rPr>
          <w:sz w:val="18"/>
          <w:szCs w:val="18"/>
        </w:rPr>
      </w:pPr>
      <w:r>
        <w:drawing>
          <wp:inline distT="0" distB="0" distL="0" distR="0">
            <wp:extent cx="5133975" cy="3562350"/>
            <wp:effectExtent l="0" t="0" r="9525" b="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pPr>
        <w:pStyle w:val="8"/>
        <w:jc w:val="center"/>
        <w:rPr>
          <w:rFonts w:asciiTheme="minorEastAsia" w:hAnsiTheme="minorEastAsia" w:eastAsiaTheme="minorEastAsia"/>
          <w:sz w:val="18"/>
          <w:szCs w:val="18"/>
        </w:rPr>
      </w:pPr>
      <w:bookmarkStart w:id="195" w:name="_Toc470887017"/>
      <w:r>
        <w:rPr>
          <w:rFonts w:hint="eastAsia" w:asciiTheme="minorEastAsia" w:hAnsiTheme="minorEastAsia" w:eastAsiaTheme="minorEastAsia"/>
          <w:sz w:val="18"/>
          <w:szCs w:val="18"/>
        </w:rPr>
        <w:t>图4-</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图4-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1</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2014-2016届</w:t>
      </w:r>
      <w:r>
        <w:rPr>
          <w:rFonts w:asciiTheme="minorEastAsia" w:hAnsiTheme="minorEastAsia" w:eastAsiaTheme="minorEastAsia"/>
          <w:sz w:val="18"/>
          <w:szCs w:val="18"/>
        </w:rPr>
        <w:t>毕业生</w:t>
      </w:r>
      <w:r>
        <w:rPr>
          <w:rFonts w:hint="eastAsia" w:asciiTheme="minorEastAsia" w:hAnsiTheme="minorEastAsia" w:eastAsiaTheme="minorEastAsia"/>
          <w:sz w:val="18"/>
          <w:szCs w:val="18"/>
        </w:rPr>
        <w:t>初次</w:t>
      </w:r>
      <w:r>
        <w:rPr>
          <w:rFonts w:asciiTheme="minorEastAsia" w:hAnsiTheme="minorEastAsia" w:eastAsiaTheme="minorEastAsia"/>
          <w:sz w:val="18"/>
          <w:szCs w:val="18"/>
        </w:rPr>
        <w:t>就业率发展趋势分析</w:t>
      </w:r>
      <w:bookmarkEnd w:id="195"/>
    </w:p>
    <w:p>
      <w:pPr>
        <w:pStyle w:val="25"/>
      </w:pPr>
      <w:bookmarkStart w:id="196" w:name="_Toc469038379"/>
      <w:bookmarkStart w:id="197" w:name="_Toc471310957"/>
      <w:r>
        <w:rPr>
          <w:rFonts w:hint="eastAsia"/>
        </w:rPr>
        <w:t>二、2013-2016届</w:t>
      </w:r>
      <w:r>
        <w:t>毕业生</w:t>
      </w:r>
      <w:r>
        <w:rPr>
          <w:rFonts w:hint="eastAsia"/>
        </w:rPr>
        <w:t>分学历</w:t>
      </w:r>
      <w:r>
        <w:t>初次就业率发展趋势分析</w:t>
      </w:r>
      <w:bookmarkEnd w:id="196"/>
      <w:bookmarkEnd w:id="197"/>
    </w:p>
    <w:p>
      <w:pPr>
        <w:pStyle w:val="40"/>
      </w:pPr>
      <w:r>
        <w:rPr>
          <w:rFonts w:hint="eastAsia"/>
        </w:rPr>
        <w:t>分学历探讨2013</w:t>
      </w:r>
      <w:r>
        <w:t>-2016</w:t>
      </w:r>
      <w:r>
        <w:rPr>
          <w:rFonts w:hint="eastAsia"/>
        </w:rPr>
        <w:t>届</w:t>
      </w:r>
      <w:r>
        <w:t>毕业生初次</w:t>
      </w:r>
      <w:r>
        <w:rPr>
          <w:rFonts w:hint="eastAsia"/>
        </w:rPr>
        <w:t>就业</w:t>
      </w:r>
      <w:r>
        <w:t>率发展趋势</w:t>
      </w:r>
      <w:r>
        <w:rPr>
          <w:rFonts w:hint="eastAsia"/>
        </w:rPr>
        <w:t>：本科生</w:t>
      </w:r>
      <w:r>
        <w:t>就业率逐年上升，</w:t>
      </w:r>
      <w:r>
        <w:rPr>
          <w:rFonts w:hint="eastAsia"/>
        </w:rPr>
        <w:t>2014届</w:t>
      </w:r>
      <w:r>
        <w:t>比</w:t>
      </w:r>
      <w:r>
        <w:rPr>
          <w:rFonts w:hint="eastAsia"/>
        </w:rPr>
        <w:t>2013届</w:t>
      </w:r>
      <w:r>
        <w:t>就业率上升幅度较大，</w:t>
      </w:r>
      <w:r>
        <w:rPr>
          <w:rFonts w:hint="eastAsia"/>
        </w:rPr>
        <w:t>2015届</w:t>
      </w:r>
      <w:r>
        <w:t>与</w:t>
      </w:r>
      <w:r>
        <w:rPr>
          <w:rFonts w:hint="eastAsia"/>
        </w:rPr>
        <w:t>2016届</w:t>
      </w:r>
      <w:r>
        <w:t>相对</w:t>
      </w:r>
      <w:r>
        <w:rPr>
          <w:rFonts w:hint="eastAsia"/>
        </w:rPr>
        <w:t>平稳</w:t>
      </w:r>
      <w:r>
        <w:t>增长，</w:t>
      </w:r>
      <w:r>
        <w:rPr>
          <w:rFonts w:hint="eastAsia"/>
        </w:rPr>
        <w:t>2015届本科生就业率开始</w:t>
      </w:r>
      <w:r>
        <w:t>超过</w:t>
      </w:r>
      <w:r>
        <w:rPr>
          <w:rFonts w:hint="eastAsia"/>
        </w:rPr>
        <w:t>90.00</w:t>
      </w:r>
      <w:r>
        <w:t>%，</w:t>
      </w:r>
      <w:r>
        <w:rPr>
          <w:rFonts w:hint="eastAsia"/>
        </w:rPr>
        <w:t>达到91.79</w:t>
      </w:r>
      <w:r>
        <w:t>%</w:t>
      </w:r>
      <w:r>
        <w:rPr>
          <w:rFonts w:hint="eastAsia"/>
        </w:rPr>
        <w:t>；专科生就业率趋势</w:t>
      </w:r>
      <w:r>
        <w:t>较为波动，</w:t>
      </w:r>
      <w:r>
        <w:rPr>
          <w:rFonts w:hint="eastAsia"/>
        </w:rPr>
        <w:t>2014届</w:t>
      </w:r>
      <w:r>
        <w:t>毕业生就业率较</w:t>
      </w:r>
      <w:r>
        <w:rPr>
          <w:rFonts w:hint="eastAsia"/>
        </w:rPr>
        <w:t>2013届</w:t>
      </w:r>
      <w:r>
        <w:t>有所下降，在</w:t>
      </w:r>
      <w:r>
        <w:rPr>
          <w:rFonts w:hint="eastAsia"/>
        </w:rPr>
        <w:t>2015届</w:t>
      </w:r>
      <w:r>
        <w:t>开始上升</w:t>
      </w:r>
      <w:r>
        <w:rPr>
          <w:rFonts w:hint="eastAsia"/>
        </w:rPr>
        <w:t>，</w:t>
      </w:r>
      <w:r>
        <w:t>且上升幅度较大，在</w:t>
      </w:r>
      <w:r>
        <w:rPr>
          <w:rFonts w:hint="eastAsia"/>
        </w:rPr>
        <w:t>2016届</w:t>
      </w:r>
      <w:r>
        <w:t>又</w:t>
      </w:r>
      <w:r>
        <w:rPr>
          <w:rFonts w:hint="eastAsia"/>
        </w:rPr>
        <w:t>略有</w:t>
      </w:r>
      <w:r>
        <w:t>下滑，具体</w:t>
      </w:r>
      <w:r>
        <w:rPr>
          <w:rFonts w:hint="eastAsia"/>
        </w:rPr>
        <w:t>情况</w:t>
      </w:r>
      <w:r>
        <w:t>见图</w:t>
      </w:r>
      <w:r>
        <w:rPr>
          <w:rFonts w:hint="eastAsia"/>
        </w:rPr>
        <w:t>4</w:t>
      </w:r>
      <w:r>
        <w:t>-2。</w:t>
      </w:r>
    </w:p>
    <w:p>
      <w:pPr>
        <w:spacing w:before="156" w:after="156"/>
        <w:jc w:val="center"/>
        <w:rPr>
          <w:sz w:val="18"/>
          <w:szCs w:val="18"/>
        </w:rPr>
      </w:pPr>
      <w:r>
        <w:drawing>
          <wp:inline distT="0" distB="0" distL="0" distR="0">
            <wp:extent cx="4914900" cy="3352800"/>
            <wp:effectExtent l="0" t="0" r="0" b="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pPr>
        <w:pStyle w:val="8"/>
        <w:jc w:val="center"/>
        <w:rPr>
          <w:rFonts w:asciiTheme="minorEastAsia" w:hAnsiTheme="minorEastAsia" w:eastAsiaTheme="minorEastAsia"/>
          <w:sz w:val="16"/>
          <w:szCs w:val="18"/>
        </w:rPr>
      </w:pPr>
      <w:bookmarkStart w:id="198" w:name="_Toc470887018"/>
      <w:r>
        <w:rPr>
          <w:rFonts w:hint="eastAsia" w:asciiTheme="minorEastAsia" w:hAnsiTheme="minorEastAsia" w:eastAsiaTheme="minorEastAsia"/>
          <w:sz w:val="18"/>
        </w:rPr>
        <w:t>图4-</w:t>
      </w:r>
      <w:r>
        <w:rPr>
          <w:rFonts w:asciiTheme="minorEastAsia" w:hAnsiTheme="minorEastAsia" w:eastAsiaTheme="minorEastAsia"/>
          <w:sz w:val="18"/>
        </w:rPr>
        <w:fldChar w:fldCharType="begin"/>
      </w:r>
      <w:r>
        <w:rPr>
          <w:rFonts w:asciiTheme="minorEastAsia" w:hAnsiTheme="minorEastAsia" w:eastAsiaTheme="minorEastAsia"/>
          <w:sz w:val="18"/>
        </w:rPr>
        <w:instrText xml:space="preserve"> </w:instrText>
      </w:r>
      <w:r>
        <w:rPr>
          <w:rFonts w:hint="eastAsia" w:asciiTheme="minorEastAsia" w:hAnsiTheme="minorEastAsia" w:eastAsiaTheme="minorEastAsia"/>
          <w:sz w:val="18"/>
        </w:rPr>
        <w:instrText xml:space="preserve">SEQ 图4- \* ARABIC</w:instrText>
      </w:r>
      <w:r>
        <w:rPr>
          <w:rFonts w:asciiTheme="minorEastAsia" w:hAnsiTheme="minorEastAsia" w:eastAsiaTheme="minorEastAsia"/>
          <w:sz w:val="18"/>
        </w:rPr>
        <w:instrText xml:space="preserve"> </w:instrText>
      </w:r>
      <w:r>
        <w:rPr>
          <w:rFonts w:asciiTheme="minorEastAsia" w:hAnsiTheme="minorEastAsia" w:eastAsiaTheme="minorEastAsia"/>
          <w:sz w:val="18"/>
        </w:rPr>
        <w:fldChar w:fldCharType="separate"/>
      </w:r>
      <w:r>
        <w:rPr>
          <w:rFonts w:asciiTheme="minorEastAsia" w:hAnsiTheme="minorEastAsia" w:eastAsiaTheme="minorEastAsia"/>
          <w:sz w:val="18"/>
        </w:rPr>
        <w:t>2</w:t>
      </w:r>
      <w:r>
        <w:rPr>
          <w:rFonts w:asciiTheme="minorEastAsia" w:hAnsiTheme="minorEastAsia" w:eastAsiaTheme="minorEastAsia"/>
          <w:sz w:val="18"/>
        </w:rPr>
        <w:fldChar w:fldCharType="end"/>
      </w:r>
      <w:r>
        <w:rPr>
          <w:rFonts w:asciiTheme="minorEastAsia" w:hAnsiTheme="minorEastAsia" w:eastAsiaTheme="minorEastAsia"/>
          <w:sz w:val="18"/>
        </w:rPr>
        <w:t xml:space="preserve"> </w:t>
      </w:r>
      <w:r>
        <w:rPr>
          <w:rFonts w:hint="eastAsia" w:cs="宋体" w:asciiTheme="minorEastAsia" w:hAnsiTheme="minorEastAsia" w:eastAsiaTheme="minorEastAsia"/>
          <w:sz w:val="18"/>
          <w:szCs w:val="24"/>
        </w:rPr>
        <w:t>2013-2016届</w:t>
      </w:r>
      <w:r>
        <w:rPr>
          <w:rFonts w:cs="宋体" w:asciiTheme="minorEastAsia" w:hAnsiTheme="minorEastAsia" w:eastAsiaTheme="minorEastAsia"/>
          <w:sz w:val="18"/>
          <w:szCs w:val="24"/>
        </w:rPr>
        <w:t>毕业生</w:t>
      </w:r>
      <w:r>
        <w:rPr>
          <w:rFonts w:hint="eastAsia" w:cs="宋体" w:asciiTheme="minorEastAsia" w:hAnsiTheme="minorEastAsia" w:eastAsiaTheme="minorEastAsia"/>
          <w:sz w:val="18"/>
          <w:szCs w:val="24"/>
        </w:rPr>
        <w:t>分学历</w:t>
      </w:r>
      <w:r>
        <w:rPr>
          <w:rFonts w:cs="宋体" w:asciiTheme="minorEastAsia" w:hAnsiTheme="minorEastAsia" w:eastAsiaTheme="minorEastAsia"/>
          <w:sz w:val="18"/>
          <w:szCs w:val="24"/>
        </w:rPr>
        <w:t>初次就业率发展趋势分析</w:t>
      </w:r>
      <w:bookmarkEnd w:id="198"/>
    </w:p>
    <w:p>
      <w:pPr>
        <w:pStyle w:val="25"/>
      </w:pPr>
      <w:bookmarkStart w:id="199" w:name="_Toc471310958"/>
      <w:bookmarkStart w:id="200" w:name="_Toc469038380"/>
      <w:r>
        <w:rPr>
          <w:rFonts w:hint="eastAsia"/>
        </w:rPr>
        <w:t>三、201</w:t>
      </w:r>
      <w:r>
        <w:t>3</w:t>
      </w:r>
      <w:r>
        <w:rPr>
          <w:rFonts w:hint="eastAsia"/>
        </w:rPr>
        <w:t>-2016届</w:t>
      </w:r>
      <w:r>
        <w:t>毕业生</w:t>
      </w:r>
      <w:r>
        <w:rPr>
          <w:rFonts w:hint="eastAsia"/>
        </w:rPr>
        <w:t>分学院</w:t>
      </w:r>
      <w:r>
        <w:t>初次就业率发展趋势分析</w:t>
      </w:r>
      <w:bookmarkEnd w:id="199"/>
      <w:bookmarkEnd w:id="200"/>
    </w:p>
    <w:p>
      <w:pPr>
        <w:pStyle w:val="40"/>
      </w:pPr>
      <w:r>
        <w:rPr>
          <w:rFonts w:hint="eastAsia"/>
        </w:rPr>
        <w:t>分析2013</w:t>
      </w:r>
      <w:r>
        <w:t>-2016</w:t>
      </w:r>
      <w:r>
        <w:rPr>
          <w:rFonts w:hint="eastAsia"/>
        </w:rPr>
        <w:t>届各</w:t>
      </w:r>
      <w:r>
        <w:t>学院毕业生初次就业率发展趋势</w:t>
      </w:r>
      <w:r>
        <w:rPr>
          <w:rFonts w:hint="eastAsia"/>
        </w:rPr>
        <w:t>，四年来</w:t>
      </w:r>
      <w:r>
        <w:t>，旅游管理学院</w:t>
      </w:r>
      <w:r>
        <w:rPr>
          <w:rFonts w:hint="eastAsia"/>
        </w:rPr>
        <w:t>的</w:t>
      </w:r>
      <w:r>
        <w:t>就业率均保持在</w:t>
      </w:r>
      <w:r>
        <w:rPr>
          <w:rFonts w:hint="eastAsia"/>
        </w:rPr>
        <w:t>90.00</w:t>
      </w:r>
      <w:r>
        <w:t>%以上</w:t>
      </w:r>
      <w:r>
        <w:rPr>
          <w:rFonts w:hint="eastAsia"/>
        </w:rPr>
        <w:t>；在</w:t>
      </w:r>
      <w:r>
        <w:t>近三年</w:t>
      </w:r>
      <w:r>
        <w:rPr>
          <w:rFonts w:hint="eastAsia"/>
        </w:rPr>
        <w:t>就业率</w:t>
      </w:r>
      <w:r>
        <w:t>出现逐年上升的学院有：</w:t>
      </w:r>
      <w:r>
        <w:rPr>
          <w:rFonts w:hint="eastAsia"/>
        </w:rPr>
        <w:t>公共</w:t>
      </w:r>
      <w:r>
        <w:t>管理学院</w:t>
      </w:r>
      <w:r>
        <w:rPr>
          <w:rFonts w:hint="eastAsia"/>
        </w:rPr>
        <w:t>和</w:t>
      </w:r>
      <w:r>
        <w:t>数学与统计学院</w:t>
      </w:r>
      <w:r>
        <w:rPr>
          <w:rFonts w:hint="eastAsia"/>
        </w:rPr>
        <w:t>；在</w:t>
      </w:r>
      <w:r>
        <w:t>近两年</w:t>
      </w:r>
      <w:r>
        <w:rPr>
          <w:rFonts w:hint="eastAsia"/>
        </w:rPr>
        <w:t>就业率</w:t>
      </w:r>
      <w:r>
        <w:t>出现</w:t>
      </w:r>
      <w:r>
        <w:rPr>
          <w:rFonts w:hint="eastAsia"/>
        </w:rPr>
        <w:t>较大</w:t>
      </w:r>
      <w:r>
        <w:t>幅度递增的学院有：</w:t>
      </w:r>
      <w:r>
        <w:rPr>
          <w:rFonts w:hint="eastAsia"/>
        </w:rPr>
        <w:t>工商管理学院</w:t>
      </w:r>
      <w:r>
        <w:t>、</w:t>
      </w:r>
      <w:r>
        <w:rPr>
          <w:rFonts w:hint="eastAsia"/>
        </w:rPr>
        <w:t>公共</w:t>
      </w:r>
      <w:r>
        <w:t>管理学院、国际教育学院</w:t>
      </w:r>
      <w:r>
        <w:rPr>
          <w:rFonts w:hint="eastAsia"/>
        </w:rPr>
        <w:t>、</w:t>
      </w:r>
      <w:r>
        <w:t>计算机与</w:t>
      </w:r>
      <w:r>
        <w:rPr>
          <w:rFonts w:hint="eastAsia"/>
        </w:rPr>
        <w:t>信息工程</w:t>
      </w:r>
      <w:r>
        <w:t>学院</w:t>
      </w:r>
      <w:r>
        <w:rPr>
          <w:rFonts w:hint="eastAsia"/>
        </w:rPr>
        <w:t>、</w:t>
      </w:r>
      <w:r>
        <w:t>设计</w:t>
      </w:r>
      <w:r>
        <w:rPr>
          <w:rFonts w:hint="eastAsia"/>
        </w:rPr>
        <w:t>艺术学院和</w:t>
      </w:r>
      <w:r>
        <w:t>数学与统计学院</w:t>
      </w:r>
      <w:r>
        <w:rPr>
          <w:rFonts w:hint="eastAsia"/>
        </w:rPr>
        <w:t>。整体</w:t>
      </w:r>
      <w:r>
        <w:t>可看出各学院的就业情况良好。</w:t>
      </w:r>
      <w:r>
        <w:rPr>
          <w:rFonts w:hint="eastAsia"/>
        </w:rPr>
        <w:t>2013</w:t>
      </w:r>
      <w:r>
        <w:t>-2016</w:t>
      </w:r>
      <w:r>
        <w:rPr>
          <w:rFonts w:hint="eastAsia"/>
        </w:rPr>
        <w:t>届各</w:t>
      </w:r>
      <w:r>
        <w:t>二级学院初次就业</w:t>
      </w:r>
      <w:r>
        <w:rPr>
          <w:rFonts w:hint="eastAsia"/>
        </w:rPr>
        <w:t>率</w:t>
      </w:r>
      <w:r>
        <w:t>发展趋势</w:t>
      </w:r>
      <w:r>
        <w:rPr>
          <w:rFonts w:hint="eastAsia"/>
        </w:rPr>
        <w:t>详</w:t>
      </w:r>
      <w:r>
        <w:t>见表</w:t>
      </w:r>
      <w:r>
        <w:rPr>
          <w:rFonts w:hint="eastAsia"/>
        </w:rPr>
        <w:t>4</w:t>
      </w:r>
      <w:r>
        <w:t>-1。</w:t>
      </w:r>
    </w:p>
    <w:p>
      <w:pPr>
        <w:pStyle w:val="40"/>
      </w:pPr>
    </w:p>
    <w:p>
      <w:pPr>
        <w:pStyle w:val="40"/>
      </w:pPr>
    </w:p>
    <w:p>
      <w:pPr>
        <w:pStyle w:val="40"/>
      </w:pPr>
    </w:p>
    <w:p>
      <w:pPr>
        <w:pStyle w:val="40"/>
      </w:pPr>
    </w:p>
    <w:p>
      <w:pPr>
        <w:pStyle w:val="8"/>
        <w:jc w:val="center"/>
        <w:rPr>
          <w:rFonts w:asciiTheme="minorEastAsia" w:hAnsiTheme="minorEastAsia" w:eastAsiaTheme="minorEastAsia"/>
          <w:sz w:val="18"/>
          <w:szCs w:val="18"/>
        </w:rPr>
      </w:pPr>
      <w:bookmarkStart w:id="201" w:name="_Toc470886963"/>
      <w:r>
        <w:rPr>
          <w:rFonts w:hint="eastAsia" w:asciiTheme="minorEastAsia" w:hAnsiTheme="minorEastAsia" w:eastAsiaTheme="minorEastAsia"/>
          <w:sz w:val="18"/>
          <w:szCs w:val="18"/>
        </w:rPr>
        <w:t>表4-</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表4-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1</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2013-2016届</w:t>
      </w:r>
      <w:r>
        <w:rPr>
          <w:rFonts w:asciiTheme="minorEastAsia" w:hAnsiTheme="minorEastAsia" w:eastAsiaTheme="minorEastAsia"/>
          <w:sz w:val="18"/>
          <w:szCs w:val="18"/>
        </w:rPr>
        <w:t>各学院就业率发展趋势</w:t>
      </w:r>
      <w:r>
        <w:rPr>
          <w:rFonts w:hint="eastAsia" w:asciiTheme="minorEastAsia" w:hAnsiTheme="minorEastAsia" w:eastAsiaTheme="minorEastAsia"/>
          <w:sz w:val="18"/>
          <w:szCs w:val="18"/>
        </w:rPr>
        <w:t>分布</w:t>
      </w:r>
      <w:bookmarkEnd w:id="201"/>
    </w:p>
    <w:p>
      <w:pPr>
        <w:spacing w:before="156" w:after="156"/>
        <w:jc w:val="center"/>
        <w:rPr>
          <w:sz w:val="18"/>
          <w:szCs w:val="18"/>
        </w:rPr>
      </w:pPr>
      <w:r>
        <w:rPr>
          <w:sz w:val="18"/>
          <w:szCs w:val="18"/>
        </w:rPr>
        <w:object>
          <v:shape id="_x0000_i1025" o:spt="75" type="#_x0000_t75" style="height:302.4pt;width:396pt;" o:ole="t" filled="f" o:preferrelative="t" stroked="f" coordsize="21600,21600">
            <v:path/>
            <v:fill on="f" focussize="0,0"/>
            <v:stroke on="f" joinstyle="miter"/>
            <v:imagedata r:id="rId61" o:title=""/>
            <o:lock v:ext="edit" aspectratio="t"/>
            <w10:wrap type="none"/>
            <w10:anchorlock/>
          </v:shape>
          <o:OLEObject Type="Embed" ProgID="Excel.Sheet.12" ShapeID="_x0000_i1025" DrawAspect="Content" ObjectID="_1468075725" r:id="rId60">
            <o:LockedField>false</o:LockedField>
          </o:OLEObject>
        </w:object>
      </w:r>
    </w:p>
    <w:p>
      <w:pPr>
        <w:pStyle w:val="25"/>
      </w:pPr>
      <w:bookmarkStart w:id="202" w:name="_Toc469038381"/>
      <w:bookmarkStart w:id="203" w:name="_Toc471310959"/>
      <w:r>
        <w:rPr>
          <w:rFonts w:hint="eastAsia"/>
        </w:rPr>
        <w:t>四、2013-2016届</w:t>
      </w:r>
      <w:r>
        <w:t>毕业生</w:t>
      </w:r>
      <w:r>
        <w:rPr>
          <w:rFonts w:hint="eastAsia"/>
        </w:rPr>
        <w:t>专业</w:t>
      </w:r>
      <w:r>
        <w:t>初次就业率发展趋势分析</w:t>
      </w:r>
      <w:bookmarkEnd w:id="202"/>
      <w:bookmarkEnd w:id="203"/>
    </w:p>
    <w:p>
      <w:pPr>
        <w:pStyle w:val="40"/>
      </w:pPr>
      <w:r>
        <w:rPr>
          <w:rFonts w:hint="eastAsia"/>
        </w:rPr>
        <w:t>整体来看</w:t>
      </w:r>
      <w:r>
        <w:t>，</w:t>
      </w:r>
      <w:r>
        <w:rPr>
          <w:rFonts w:hint="eastAsia"/>
        </w:rPr>
        <w:t>湖南</w:t>
      </w:r>
      <w:r>
        <w:t>商学院各专业的</w:t>
      </w:r>
      <w:r>
        <w:rPr>
          <w:rFonts w:hint="eastAsia"/>
        </w:rPr>
        <w:t>就业率</w:t>
      </w:r>
      <w:r>
        <w:t>四年间</w:t>
      </w:r>
      <w:r>
        <w:rPr>
          <w:rFonts w:hint="eastAsia"/>
        </w:rPr>
        <w:t>发展</w:t>
      </w:r>
      <w:r>
        <w:t>情况较稳定，</w:t>
      </w:r>
      <w:r>
        <w:rPr>
          <w:rFonts w:hint="eastAsia"/>
        </w:rPr>
        <w:t>基本上</w:t>
      </w:r>
      <w:r>
        <w:t>保持在</w:t>
      </w:r>
      <w:r>
        <w:rPr>
          <w:rFonts w:hint="eastAsia"/>
        </w:rPr>
        <w:t>90.00</w:t>
      </w:r>
      <w:r>
        <w:t>%以上</w:t>
      </w:r>
      <w:r>
        <w:rPr>
          <w:rFonts w:hint="eastAsia"/>
        </w:rPr>
        <w:t>，</w:t>
      </w:r>
      <w:r>
        <w:t>大多数专业出现就业</w:t>
      </w:r>
      <w:r>
        <w:rPr>
          <w:rFonts w:hint="eastAsia"/>
        </w:rPr>
        <w:t>率</w:t>
      </w:r>
      <w:r>
        <w:t>上升趋势</w:t>
      </w:r>
      <w:r>
        <w:rPr>
          <w:rFonts w:hint="eastAsia"/>
        </w:rPr>
        <w:t>，并且2016届绝大多数</w:t>
      </w:r>
      <w:r>
        <w:t>专业就业均达到</w:t>
      </w:r>
      <w:r>
        <w:rPr>
          <w:rFonts w:hint="eastAsia"/>
        </w:rPr>
        <w:t>90.00</w:t>
      </w:r>
      <w:r>
        <w:t>%以上</w:t>
      </w:r>
      <w:r>
        <w:rPr>
          <w:rFonts w:hint="eastAsia"/>
        </w:rPr>
        <w:t>，</w:t>
      </w:r>
      <w:r>
        <w:t>学校整体就业</w:t>
      </w:r>
      <w:r>
        <w:rPr>
          <w:rFonts w:hint="eastAsia"/>
        </w:rPr>
        <w:t>情况</w:t>
      </w:r>
      <w:r>
        <w:t>良好</w:t>
      </w:r>
      <w:r>
        <w:rPr>
          <w:rFonts w:hint="eastAsia"/>
        </w:rPr>
        <w:t>。</w:t>
      </w:r>
    </w:p>
    <w:p>
      <w:pPr>
        <w:pStyle w:val="40"/>
      </w:pPr>
      <w:r>
        <w:rPr>
          <w:rFonts w:hint="eastAsia"/>
        </w:rPr>
        <w:t>四年间</w:t>
      </w:r>
      <w:r>
        <w:t>就业率均维持在较高水平的专业有：</w:t>
      </w:r>
      <w:r>
        <w:rPr>
          <w:rFonts w:hint="eastAsia"/>
        </w:rPr>
        <w:t>保险</w:t>
      </w:r>
      <w:r>
        <w:t>、电子商务、会展经济与管理</w:t>
      </w:r>
      <w:r>
        <w:rPr>
          <w:rFonts w:hint="eastAsia"/>
        </w:rPr>
        <w:t>、</w:t>
      </w:r>
      <w:r>
        <w:t>统计学、</w:t>
      </w:r>
      <w:r>
        <w:rPr>
          <w:rFonts w:hint="eastAsia"/>
        </w:rPr>
        <w:t>酒店管理</w:t>
      </w:r>
      <w:r>
        <w:t>和信息与计算科学，即基本上维持在</w:t>
      </w:r>
      <w:r>
        <w:rPr>
          <w:rFonts w:hint="eastAsia"/>
        </w:rPr>
        <w:t>90.00</w:t>
      </w:r>
      <w:r>
        <w:t>%以上，</w:t>
      </w:r>
      <w:r>
        <w:rPr>
          <w:rFonts w:hint="eastAsia"/>
        </w:rPr>
        <w:t>出现</w:t>
      </w:r>
      <w:r>
        <w:t>连续</w:t>
      </w:r>
      <w:r>
        <w:rPr>
          <w:rFonts w:hint="eastAsia"/>
        </w:rPr>
        <w:t>2年或</w:t>
      </w:r>
      <w:r>
        <w:t>以上专业就业率</w:t>
      </w:r>
      <w:r>
        <w:rPr>
          <w:rFonts w:hint="eastAsia"/>
        </w:rPr>
        <w:t>100.00</w:t>
      </w:r>
      <w:r>
        <w:t>%</w:t>
      </w:r>
      <w:r>
        <w:rPr>
          <w:rFonts w:hint="eastAsia"/>
        </w:rPr>
        <w:t>；</w:t>
      </w:r>
      <w:r>
        <w:t>连续</w:t>
      </w:r>
      <w:r>
        <w:rPr>
          <w:rFonts w:hint="eastAsia"/>
        </w:rPr>
        <w:t>三</w:t>
      </w:r>
      <w:r>
        <w:t>年就业率达到</w:t>
      </w:r>
      <w:r>
        <w:rPr>
          <w:rFonts w:hint="eastAsia"/>
        </w:rPr>
        <w:t>100.00</w:t>
      </w:r>
      <w:r>
        <w:t>%</w:t>
      </w:r>
      <w:r>
        <w:rPr>
          <w:rFonts w:hint="eastAsia"/>
        </w:rPr>
        <w:t>的</w:t>
      </w:r>
      <w:r>
        <w:t>专业有：会展经济管理</w:t>
      </w:r>
      <w:r>
        <w:rPr>
          <w:rFonts w:hint="eastAsia"/>
        </w:rPr>
        <w:t>、酒店管理、</w:t>
      </w:r>
      <w:r>
        <w:t>统计学</w:t>
      </w:r>
      <w:r>
        <w:rPr>
          <w:rFonts w:hint="eastAsia"/>
        </w:rPr>
        <w:t>，</w:t>
      </w:r>
      <w:r>
        <w:t>其他</w:t>
      </w:r>
      <w:r>
        <w:rPr>
          <w:rFonts w:hint="eastAsia"/>
        </w:rPr>
        <w:t>专业</w:t>
      </w:r>
      <w:r>
        <w:t>就业率趋势见表</w:t>
      </w:r>
      <w:r>
        <w:rPr>
          <w:rFonts w:hint="eastAsia"/>
        </w:rPr>
        <w:t>4</w:t>
      </w:r>
      <w:r>
        <w:t>-2。</w:t>
      </w:r>
    </w:p>
    <w:p>
      <w:pPr>
        <w:pStyle w:val="8"/>
        <w:jc w:val="center"/>
        <w:rPr>
          <w:rFonts w:cs="宋体" w:asciiTheme="minorEastAsia" w:hAnsiTheme="minorEastAsia" w:eastAsiaTheme="minorEastAsia"/>
          <w:sz w:val="18"/>
          <w:szCs w:val="18"/>
        </w:rPr>
      </w:pPr>
      <w:bookmarkStart w:id="204" w:name="_Toc470886964"/>
      <w:r>
        <w:rPr>
          <w:rFonts w:hint="eastAsia" w:asciiTheme="minorEastAsia" w:hAnsiTheme="minorEastAsia" w:eastAsiaTheme="minorEastAsia"/>
          <w:sz w:val="18"/>
          <w:szCs w:val="18"/>
        </w:rPr>
        <w:t>表4-</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表4-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2</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cs="宋体" w:asciiTheme="minorEastAsia" w:hAnsiTheme="minorEastAsia" w:eastAsiaTheme="minorEastAsia"/>
          <w:sz w:val="18"/>
          <w:szCs w:val="18"/>
        </w:rPr>
        <w:t>2013-2016</w:t>
      </w:r>
      <w:r>
        <w:rPr>
          <w:rFonts w:hint="eastAsia" w:cs="宋体" w:asciiTheme="minorEastAsia" w:hAnsiTheme="minorEastAsia" w:eastAsiaTheme="minorEastAsia"/>
          <w:sz w:val="18"/>
          <w:szCs w:val="18"/>
        </w:rPr>
        <w:t>届</w:t>
      </w:r>
      <w:r>
        <w:rPr>
          <w:rFonts w:cs="宋体" w:asciiTheme="minorEastAsia" w:hAnsiTheme="minorEastAsia" w:eastAsiaTheme="minorEastAsia"/>
          <w:sz w:val="18"/>
          <w:szCs w:val="18"/>
        </w:rPr>
        <w:t>就业率趋势</w:t>
      </w:r>
      <w:bookmarkEnd w:id="204"/>
    </w:p>
    <w:tbl>
      <w:tblPr>
        <w:tblStyle w:val="50"/>
        <w:tblW w:w="8296" w:type="dxa"/>
        <w:tblInd w:w="0" w:type="dxa"/>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
      <w:tblGrid>
        <w:gridCol w:w="1482"/>
        <w:gridCol w:w="781"/>
        <w:gridCol w:w="1276"/>
        <w:gridCol w:w="1702"/>
        <w:gridCol w:w="1419"/>
        <w:gridCol w:w="1636"/>
      </w:tblGrid>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85" w:hRule="atLeast"/>
          <w:tblHeader/>
        </w:trPr>
        <w:tc>
          <w:tcPr>
            <w:tcW w:w="1482" w:type="dxa"/>
            <w:tcBorders>
              <w:top w:val="single" w:color="ED7D31" w:themeColor="accent2" w:sz="4" w:space="0"/>
              <w:left w:val="single" w:color="ED7D31" w:themeColor="accent2" w:sz="4" w:space="0"/>
              <w:bottom w:val="single" w:color="ED7D31" w:themeColor="accent2" w:sz="4" w:space="0"/>
              <w:right w:val="nil"/>
              <w:insideH w:val="single" w:sz="4" w:space="0"/>
              <w:insideV w:val="nil"/>
            </w:tcBorders>
            <w:shd w:val="clear" w:color="auto" w:fill="ED7D31" w:themeFill="accent2"/>
            <w:vAlign w:val="center"/>
          </w:tcPr>
          <w:p>
            <w:pPr>
              <w:widowControl/>
              <w:jc w:val="center"/>
              <w:rPr>
                <w:rFonts w:ascii="宋体" w:hAnsi="宋体" w:eastAsia="宋体" w:cs="宋体"/>
                <w:b/>
                <w:bCs/>
                <w:color w:val="FFFFFF"/>
                <w:kern w:val="0"/>
                <w:sz w:val="18"/>
                <w:szCs w:val="18"/>
              </w:rPr>
            </w:pPr>
            <w:r>
              <w:rPr>
                <w:rFonts w:hint="eastAsia" w:ascii="宋体" w:hAnsi="宋体" w:eastAsia="宋体" w:cs="宋体"/>
                <w:b/>
                <w:bCs/>
                <w:color w:val="FFFFFF"/>
                <w:kern w:val="0"/>
                <w:sz w:val="18"/>
                <w:szCs w:val="18"/>
              </w:rPr>
              <w:t>专业</w:t>
            </w:r>
          </w:p>
        </w:tc>
        <w:tc>
          <w:tcPr>
            <w:tcW w:w="2057" w:type="dxa"/>
            <w:gridSpan w:val="2"/>
            <w:tcBorders>
              <w:top w:val="single" w:color="ED7D31" w:themeColor="accent2" w:sz="4" w:space="0"/>
              <w:bottom w:val="single" w:color="ED7D31" w:themeColor="accent2" w:sz="4" w:space="0"/>
              <w:right w:val="nil"/>
              <w:insideH w:val="single" w:sz="4" w:space="0"/>
              <w:insideV w:val="nil"/>
            </w:tcBorders>
            <w:shd w:val="clear" w:color="auto" w:fill="ED7D31" w:themeFill="accent2"/>
            <w:vAlign w:val="center"/>
          </w:tcPr>
          <w:p>
            <w:pPr>
              <w:widowControl/>
              <w:jc w:val="center"/>
              <w:rPr>
                <w:rFonts w:ascii="宋体" w:hAnsi="宋体" w:eastAsia="宋体" w:cs="宋体"/>
                <w:b/>
                <w:bCs/>
                <w:color w:val="FFFFFF"/>
                <w:kern w:val="0"/>
                <w:sz w:val="18"/>
                <w:szCs w:val="18"/>
              </w:rPr>
            </w:pPr>
            <w:r>
              <w:rPr>
                <w:rFonts w:hint="eastAsia" w:ascii="宋体" w:hAnsi="宋体" w:eastAsia="宋体" w:cs="宋体"/>
                <w:b/>
                <w:bCs/>
                <w:color w:val="FFFFFF"/>
                <w:kern w:val="0"/>
                <w:sz w:val="18"/>
                <w:szCs w:val="18"/>
              </w:rPr>
              <w:t>2013届就业率  （%）</w:t>
            </w:r>
          </w:p>
        </w:tc>
        <w:tc>
          <w:tcPr>
            <w:tcW w:w="1702" w:type="dxa"/>
            <w:tcBorders>
              <w:top w:val="single" w:color="ED7D31" w:themeColor="accent2" w:sz="4" w:space="0"/>
              <w:bottom w:val="single" w:color="ED7D31" w:themeColor="accent2" w:sz="4" w:space="0"/>
              <w:right w:val="nil"/>
              <w:insideH w:val="single" w:sz="4" w:space="0"/>
              <w:insideV w:val="nil"/>
            </w:tcBorders>
            <w:shd w:val="clear" w:color="auto" w:fill="ED7D31" w:themeFill="accent2"/>
            <w:vAlign w:val="center"/>
          </w:tcPr>
          <w:p>
            <w:pPr>
              <w:widowControl/>
              <w:jc w:val="center"/>
              <w:rPr>
                <w:rFonts w:ascii="宋体" w:hAnsi="宋体" w:eastAsia="宋体" w:cs="宋体"/>
                <w:b/>
                <w:bCs/>
                <w:color w:val="FFFFFF"/>
                <w:kern w:val="0"/>
                <w:sz w:val="18"/>
                <w:szCs w:val="18"/>
              </w:rPr>
            </w:pPr>
            <w:r>
              <w:rPr>
                <w:rFonts w:hint="eastAsia" w:ascii="宋体" w:hAnsi="宋体" w:eastAsia="宋体" w:cs="宋体"/>
                <w:b/>
                <w:bCs/>
                <w:color w:val="FFFFFF"/>
                <w:kern w:val="0"/>
                <w:sz w:val="18"/>
                <w:szCs w:val="18"/>
              </w:rPr>
              <w:t>2014届就业率（%）</w:t>
            </w:r>
          </w:p>
        </w:tc>
        <w:tc>
          <w:tcPr>
            <w:tcW w:w="1419" w:type="dxa"/>
            <w:tcBorders>
              <w:top w:val="single" w:color="ED7D31" w:themeColor="accent2" w:sz="4" w:space="0"/>
              <w:bottom w:val="single" w:color="ED7D31" w:themeColor="accent2" w:sz="4" w:space="0"/>
              <w:right w:val="nil"/>
              <w:insideH w:val="single" w:sz="4" w:space="0"/>
              <w:insideV w:val="nil"/>
            </w:tcBorders>
            <w:shd w:val="clear" w:color="auto" w:fill="ED7D31" w:themeFill="accent2"/>
            <w:vAlign w:val="center"/>
          </w:tcPr>
          <w:p>
            <w:pPr>
              <w:widowControl/>
              <w:jc w:val="center"/>
              <w:rPr>
                <w:rFonts w:ascii="宋体" w:hAnsi="宋体" w:eastAsia="宋体" w:cs="宋体"/>
                <w:b/>
                <w:bCs/>
                <w:color w:val="FFFFFF"/>
                <w:kern w:val="0"/>
                <w:sz w:val="18"/>
                <w:szCs w:val="18"/>
              </w:rPr>
            </w:pPr>
            <w:r>
              <w:rPr>
                <w:rFonts w:hint="eastAsia" w:ascii="宋体" w:hAnsi="宋体" w:eastAsia="宋体" w:cs="宋体"/>
                <w:b/>
                <w:bCs/>
                <w:color w:val="FFFFFF"/>
                <w:kern w:val="0"/>
                <w:sz w:val="18"/>
                <w:szCs w:val="18"/>
              </w:rPr>
              <w:t>2015届就业率（%）</w:t>
            </w:r>
          </w:p>
        </w:tc>
        <w:tc>
          <w:tcPr>
            <w:tcW w:w="1636" w:type="dxa"/>
            <w:tcBorders>
              <w:top w:val="single" w:color="ED7D31" w:themeColor="accent2" w:sz="4" w:space="0"/>
              <w:bottom w:val="single" w:color="ED7D31" w:themeColor="accent2" w:sz="4" w:space="0"/>
              <w:right w:val="single" w:color="ED7D31" w:themeColor="accent2" w:sz="4" w:space="0"/>
              <w:insideH w:val="single" w:sz="4" w:space="0"/>
              <w:insideV w:val="nil"/>
            </w:tcBorders>
            <w:shd w:val="clear" w:color="auto" w:fill="ED7D31" w:themeFill="accent2"/>
            <w:vAlign w:val="center"/>
          </w:tcPr>
          <w:p>
            <w:pPr>
              <w:widowControl/>
              <w:jc w:val="center"/>
              <w:rPr>
                <w:rFonts w:ascii="宋体" w:hAnsi="宋体" w:eastAsia="宋体" w:cs="宋体"/>
                <w:b/>
                <w:bCs/>
                <w:color w:val="FFFFFF"/>
                <w:kern w:val="0"/>
                <w:sz w:val="18"/>
                <w:szCs w:val="18"/>
              </w:rPr>
            </w:pPr>
            <w:r>
              <w:rPr>
                <w:rFonts w:hint="eastAsia" w:ascii="宋体" w:hAnsi="宋体" w:eastAsia="宋体" w:cs="宋体"/>
                <w:b/>
                <w:bCs/>
                <w:color w:val="FFFFFF"/>
                <w:kern w:val="0"/>
                <w:sz w:val="18"/>
                <w:szCs w:val="18"/>
              </w:rPr>
              <w:t>2016届就业率（%）</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85" w:hRule="atLeast"/>
        </w:trPr>
        <w:tc>
          <w:tcPr>
            <w:tcW w:w="2263" w:type="dxa"/>
            <w:gridSpan w:val="2"/>
            <w:shd w:val="clear" w:color="auto" w:fill="FBE4D5" w:themeFill="accent2" w:themeFillTint="33"/>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保险</w:t>
            </w:r>
          </w:p>
        </w:tc>
        <w:tc>
          <w:tcPr>
            <w:tcW w:w="1276"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91.67</w:t>
            </w:r>
          </w:p>
        </w:tc>
        <w:tc>
          <w:tcPr>
            <w:tcW w:w="170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84.62</w:t>
            </w:r>
          </w:p>
        </w:tc>
        <w:tc>
          <w:tcPr>
            <w:tcW w:w="1419"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100.00</w:t>
            </w:r>
          </w:p>
        </w:tc>
        <w:tc>
          <w:tcPr>
            <w:tcW w:w="1636"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100.00</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85" w:hRule="atLeast"/>
        </w:trPr>
        <w:tc>
          <w:tcPr>
            <w:tcW w:w="2263" w:type="dxa"/>
            <w:gridSpan w:val="2"/>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电子商务</w:t>
            </w:r>
          </w:p>
        </w:tc>
        <w:tc>
          <w:tcPr>
            <w:tcW w:w="1276"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78.79</w:t>
            </w:r>
          </w:p>
        </w:tc>
        <w:tc>
          <w:tcPr>
            <w:tcW w:w="170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92.86</w:t>
            </w:r>
          </w:p>
        </w:tc>
        <w:tc>
          <w:tcPr>
            <w:tcW w:w="1419"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100.00</w:t>
            </w:r>
          </w:p>
        </w:tc>
        <w:tc>
          <w:tcPr>
            <w:tcW w:w="1636"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100.00</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85" w:hRule="atLeast"/>
        </w:trPr>
        <w:tc>
          <w:tcPr>
            <w:tcW w:w="2263" w:type="dxa"/>
            <w:gridSpan w:val="2"/>
            <w:shd w:val="clear" w:color="auto" w:fill="FBE4D5" w:themeFill="accent2" w:themeFillTint="33"/>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广告学</w:t>
            </w:r>
          </w:p>
        </w:tc>
        <w:tc>
          <w:tcPr>
            <w:tcW w:w="1276"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87.18</w:t>
            </w:r>
          </w:p>
        </w:tc>
        <w:tc>
          <w:tcPr>
            <w:tcW w:w="170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96.88</w:t>
            </w:r>
          </w:p>
        </w:tc>
        <w:tc>
          <w:tcPr>
            <w:tcW w:w="1419"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87.50</w:t>
            </w:r>
          </w:p>
        </w:tc>
        <w:tc>
          <w:tcPr>
            <w:tcW w:w="1636"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100.00</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85" w:hRule="atLeast"/>
        </w:trPr>
        <w:tc>
          <w:tcPr>
            <w:tcW w:w="2263" w:type="dxa"/>
            <w:gridSpan w:val="2"/>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会展经济与管理</w:t>
            </w:r>
          </w:p>
        </w:tc>
        <w:tc>
          <w:tcPr>
            <w:tcW w:w="1276"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87.10</w:t>
            </w:r>
          </w:p>
        </w:tc>
        <w:tc>
          <w:tcPr>
            <w:tcW w:w="170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100.00</w:t>
            </w:r>
          </w:p>
        </w:tc>
        <w:tc>
          <w:tcPr>
            <w:tcW w:w="1419"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100.00</w:t>
            </w:r>
          </w:p>
        </w:tc>
        <w:tc>
          <w:tcPr>
            <w:tcW w:w="1636"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100.00</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85" w:hRule="atLeast"/>
        </w:trPr>
        <w:tc>
          <w:tcPr>
            <w:tcW w:w="2263" w:type="dxa"/>
            <w:gridSpan w:val="2"/>
            <w:shd w:val="clear" w:color="auto" w:fill="FBE4D5" w:themeFill="accent2" w:themeFillTint="33"/>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酒店管理</w:t>
            </w:r>
          </w:p>
        </w:tc>
        <w:tc>
          <w:tcPr>
            <w:tcW w:w="1276"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w:t>
            </w:r>
          </w:p>
        </w:tc>
        <w:tc>
          <w:tcPr>
            <w:tcW w:w="170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100.00</w:t>
            </w:r>
          </w:p>
        </w:tc>
        <w:tc>
          <w:tcPr>
            <w:tcW w:w="1419"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100.00</w:t>
            </w:r>
          </w:p>
        </w:tc>
        <w:tc>
          <w:tcPr>
            <w:tcW w:w="1636"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100.00</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85" w:hRule="atLeast"/>
        </w:trPr>
        <w:tc>
          <w:tcPr>
            <w:tcW w:w="2263" w:type="dxa"/>
            <w:gridSpan w:val="2"/>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旅游管理</w:t>
            </w:r>
          </w:p>
        </w:tc>
        <w:tc>
          <w:tcPr>
            <w:tcW w:w="1276"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92.68</w:t>
            </w:r>
          </w:p>
        </w:tc>
        <w:tc>
          <w:tcPr>
            <w:tcW w:w="170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97.56</w:t>
            </w:r>
          </w:p>
        </w:tc>
        <w:tc>
          <w:tcPr>
            <w:tcW w:w="1419"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89.19</w:t>
            </w:r>
          </w:p>
        </w:tc>
        <w:tc>
          <w:tcPr>
            <w:tcW w:w="1636"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100.00</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85" w:hRule="atLeast"/>
        </w:trPr>
        <w:tc>
          <w:tcPr>
            <w:tcW w:w="2263" w:type="dxa"/>
            <w:gridSpan w:val="2"/>
            <w:shd w:val="clear" w:color="auto" w:fill="FBE4D5" w:themeFill="accent2" w:themeFillTint="33"/>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数学与应用数学</w:t>
            </w:r>
          </w:p>
        </w:tc>
        <w:tc>
          <w:tcPr>
            <w:tcW w:w="1276"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w:t>
            </w:r>
          </w:p>
        </w:tc>
        <w:tc>
          <w:tcPr>
            <w:tcW w:w="170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w:t>
            </w:r>
          </w:p>
        </w:tc>
        <w:tc>
          <w:tcPr>
            <w:tcW w:w="1419"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w:t>
            </w:r>
          </w:p>
        </w:tc>
        <w:tc>
          <w:tcPr>
            <w:tcW w:w="1636"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100.00</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85" w:hRule="atLeast"/>
        </w:trPr>
        <w:tc>
          <w:tcPr>
            <w:tcW w:w="2263" w:type="dxa"/>
            <w:gridSpan w:val="2"/>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统计学</w:t>
            </w:r>
          </w:p>
        </w:tc>
        <w:tc>
          <w:tcPr>
            <w:tcW w:w="1276"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86.11</w:t>
            </w:r>
          </w:p>
        </w:tc>
        <w:tc>
          <w:tcPr>
            <w:tcW w:w="170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100.00</w:t>
            </w:r>
          </w:p>
        </w:tc>
        <w:tc>
          <w:tcPr>
            <w:tcW w:w="1419"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100.00</w:t>
            </w:r>
          </w:p>
        </w:tc>
        <w:tc>
          <w:tcPr>
            <w:tcW w:w="1636"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100.00</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85" w:hRule="atLeast"/>
        </w:trPr>
        <w:tc>
          <w:tcPr>
            <w:tcW w:w="2263" w:type="dxa"/>
            <w:gridSpan w:val="2"/>
            <w:shd w:val="clear" w:color="auto" w:fill="FBE4D5" w:themeFill="accent2" w:themeFillTint="33"/>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信息与计算科学</w:t>
            </w:r>
          </w:p>
        </w:tc>
        <w:tc>
          <w:tcPr>
            <w:tcW w:w="1276"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75.76</w:t>
            </w:r>
          </w:p>
        </w:tc>
        <w:tc>
          <w:tcPr>
            <w:tcW w:w="170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89.74</w:t>
            </w:r>
          </w:p>
        </w:tc>
        <w:tc>
          <w:tcPr>
            <w:tcW w:w="1419"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100.00</w:t>
            </w:r>
          </w:p>
        </w:tc>
        <w:tc>
          <w:tcPr>
            <w:tcW w:w="1636"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100.00</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85" w:hRule="atLeast"/>
        </w:trPr>
        <w:tc>
          <w:tcPr>
            <w:tcW w:w="2263" w:type="dxa"/>
            <w:gridSpan w:val="2"/>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计算机科学与技术</w:t>
            </w:r>
          </w:p>
        </w:tc>
        <w:tc>
          <w:tcPr>
            <w:tcW w:w="1276"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90.91</w:t>
            </w:r>
          </w:p>
        </w:tc>
        <w:tc>
          <w:tcPr>
            <w:tcW w:w="170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85.19</w:t>
            </w:r>
          </w:p>
        </w:tc>
        <w:tc>
          <w:tcPr>
            <w:tcW w:w="1419"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100.00</w:t>
            </w:r>
          </w:p>
        </w:tc>
        <w:tc>
          <w:tcPr>
            <w:tcW w:w="1636"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98.86</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85" w:hRule="atLeast"/>
        </w:trPr>
        <w:tc>
          <w:tcPr>
            <w:tcW w:w="2263" w:type="dxa"/>
            <w:gridSpan w:val="2"/>
            <w:shd w:val="clear" w:color="auto" w:fill="FBE4D5" w:themeFill="accent2" w:themeFillTint="33"/>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物流管理</w:t>
            </w:r>
          </w:p>
        </w:tc>
        <w:tc>
          <w:tcPr>
            <w:tcW w:w="1276"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87.06</w:t>
            </w:r>
          </w:p>
        </w:tc>
        <w:tc>
          <w:tcPr>
            <w:tcW w:w="170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97.87</w:t>
            </w:r>
          </w:p>
        </w:tc>
        <w:tc>
          <w:tcPr>
            <w:tcW w:w="1419"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97.26</w:t>
            </w:r>
          </w:p>
        </w:tc>
        <w:tc>
          <w:tcPr>
            <w:tcW w:w="1636"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97.17</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85" w:hRule="atLeast"/>
        </w:trPr>
        <w:tc>
          <w:tcPr>
            <w:tcW w:w="2263" w:type="dxa"/>
            <w:gridSpan w:val="2"/>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电子信息工程</w:t>
            </w:r>
          </w:p>
        </w:tc>
        <w:tc>
          <w:tcPr>
            <w:tcW w:w="1276"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88.46</w:t>
            </w:r>
          </w:p>
        </w:tc>
        <w:tc>
          <w:tcPr>
            <w:tcW w:w="170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91.30</w:t>
            </w:r>
          </w:p>
        </w:tc>
        <w:tc>
          <w:tcPr>
            <w:tcW w:w="1419"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98.95</w:t>
            </w:r>
          </w:p>
        </w:tc>
        <w:tc>
          <w:tcPr>
            <w:tcW w:w="1636"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97.66</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85" w:hRule="atLeast"/>
        </w:trPr>
        <w:tc>
          <w:tcPr>
            <w:tcW w:w="2263" w:type="dxa"/>
            <w:gridSpan w:val="2"/>
            <w:shd w:val="clear" w:color="auto" w:fill="FBE4D5" w:themeFill="accent2" w:themeFillTint="33"/>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法学</w:t>
            </w:r>
          </w:p>
        </w:tc>
        <w:tc>
          <w:tcPr>
            <w:tcW w:w="1276"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89.77</w:t>
            </w:r>
          </w:p>
        </w:tc>
        <w:tc>
          <w:tcPr>
            <w:tcW w:w="170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92.86</w:t>
            </w:r>
          </w:p>
        </w:tc>
        <w:tc>
          <w:tcPr>
            <w:tcW w:w="1419"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98.78</w:t>
            </w:r>
          </w:p>
        </w:tc>
        <w:tc>
          <w:tcPr>
            <w:tcW w:w="1636"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97.50</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85" w:hRule="atLeast"/>
        </w:trPr>
        <w:tc>
          <w:tcPr>
            <w:tcW w:w="2263" w:type="dxa"/>
            <w:gridSpan w:val="2"/>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工程管理</w:t>
            </w:r>
          </w:p>
        </w:tc>
        <w:tc>
          <w:tcPr>
            <w:tcW w:w="1276"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87.50</w:t>
            </w:r>
          </w:p>
        </w:tc>
        <w:tc>
          <w:tcPr>
            <w:tcW w:w="170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93.94</w:t>
            </w:r>
          </w:p>
        </w:tc>
        <w:tc>
          <w:tcPr>
            <w:tcW w:w="1419"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100.00</w:t>
            </w:r>
          </w:p>
        </w:tc>
        <w:tc>
          <w:tcPr>
            <w:tcW w:w="1636"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97.50</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85" w:hRule="atLeast"/>
        </w:trPr>
        <w:tc>
          <w:tcPr>
            <w:tcW w:w="2263" w:type="dxa"/>
            <w:gridSpan w:val="2"/>
            <w:shd w:val="clear" w:color="auto" w:fill="FBE4D5" w:themeFill="accent2" w:themeFillTint="33"/>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软件工程</w:t>
            </w:r>
          </w:p>
        </w:tc>
        <w:tc>
          <w:tcPr>
            <w:tcW w:w="1276"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w:t>
            </w:r>
          </w:p>
        </w:tc>
        <w:tc>
          <w:tcPr>
            <w:tcW w:w="170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w:t>
            </w:r>
          </w:p>
        </w:tc>
        <w:tc>
          <w:tcPr>
            <w:tcW w:w="1419"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100.00</w:t>
            </w:r>
          </w:p>
        </w:tc>
        <w:tc>
          <w:tcPr>
            <w:tcW w:w="1636"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97.14</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85" w:hRule="atLeast"/>
        </w:trPr>
        <w:tc>
          <w:tcPr>
            <w:tcW w:w="2263" w:type="dxa"/>
            <w:gridSpan w:val="2"/>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人力资源管理</w:t>
            </w:r>
          </w:p>
        </w:tc>
        <w:tc>
          <w:tcPr>
            <w:tcW w:w="1276"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90.48</w:t>
            </w:r>
          </w:p>
        </w:tc>
        <w:tc>
          <w:tcPr>
            <w:tcW w:w="170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79.55</w:t>
            </w:r>
          </w:p>
        </w:tc>
        <w:tc>
          <w:tcPr>
            <w:tcW w:w="1419"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93.48</w:t>
            </w:r>
          </w:p>
        </w:tc>
        <w:tc>
          <w:tcPr>
            <w:tcW w:w="1636"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97.10</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85" w:hRule="atLeast"/>
        </w:trPr>
        <w:tc>
          <w:tcPr>
            <w:tcW w:w="2263" w:type="dxa"/>
            <w:gridSpan w:val="2"/>
            <w:shd w:val="clear" w:color="auto" w:fill="FBE4D5" w:themeFill="accent2" w:themeFillTint="33"/>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编辑出版学</w:t>
            </w:r>
          </w:p>
        </w:tc>
        <w:tc>
          <w:tcPr>
            <w:tcW w:w="1276"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87.88</w:t>
            </w:r>
          </w:p>
        </w:tc>
        <w:tc>
          <w:tcPr>
            <w:tcW w:w="170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93.10</w:t>
            </w:r>
          </w:p>
        </w:tc>
        <w:tc>
          <w:tcPr>
            <w:tcW w:w="1419"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80.00</w:t>
            </w:r>
          </w:p>
        </w:tc>
        <w:tc>
          <w:tcPr>
            <w:tcW w:w="1636"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96.97</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85" w:hRule="atLeast"/>
        </w:trPr>
        <w:tc>
          <w:tcPr>
            <w:tcW w:w="2263" w:type="dxa"/>
            <w:gridSpan w:val="2"/>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汉语言文学</w:t>
            </w:r>
          </w:p>
        </w:tc>
        <w:tc>
          <w:tcPr>
            <w:tcW w:w="1276"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80.60</w:t>
            </w:r>
          </w:p>
        </w:tc>
        <w:tc>
          <w:tcPr>
            <w:tcW w:w="170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92.98</w:t>
            </w:r>
          </w:p>
        </w:tc>
        <w:tc>
          <w:tcPr>
            <w:tcW w:w="1419"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90.48</w:t>
            </w:r>
          </w:p>
        </w:tc>
        <w:tc>
          <w:tcPr>
            <w:tcW w:w="1636"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96.97</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85" w:hRule="atLeast"/>
        </w:trPr>
        <w:tc>
          <w:tcPr>
            <w:tcW w:w="2263" w:type="dxa"/>
            <w:gridSpan w:val="2"/>
            <w:shd w:val="clear" w:color="auto" w:fill="FBE4D5" w:themeFill="accent2" w:themeFillTint="33"/>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工商管理</w:t>
            </w:r>
          </w:p>
        </w:tc>
        <w:tc>
          <w:tcPr>
            <w:tcW w:w="1276"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82.35</w:t>
            </w:r>
          </w:p>
        </w:tc>
        <w:tc>
          <w:tcPr>
            <w:tcW w:w="170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74.47</w:t>
            </w:r>
          </w:p>
        </w:tc>
        <w:tc>
          <w:tcPr>
            <w:tcW w:w="1419"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100.00</w:t>
            </w:r>
          </w:p>
        </w:tc>
        <w:tc>
          <w:tcPr>
            <w:tcW w:w="1636"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96.91</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85" w:hRule="atLeast"/>
        </w:trPr>
        <w:tc>
          <w:tcPr>
            <w:tcW w:w="2263" w:type="dxa"/>
            <w:gridSpan w:val="2"/>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商务英语</w:t>
            </w:r>
          </w:p>
        </w:tc>
        <w:tc>
          <w:tcPr>
            <w:tcW w:w="1276"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w:t>
            </w:r>
          </w:p>
        </w:tc>
        <w:tc>
          <w:tcPr>
            <w:tcW w:w="170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w:t>
            </w:r>
          </w:p>
        </w:tc>
        <w:tc>
          <w:tcPr>
            <w:tcW w:w="1419"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w:t>
            </w:r>
          </w:p>
        </w:tc>
        <w:tc>
          <w:tcPr>
            <w:tcW w:w="1636"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95.31</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85" w:hRule="atLeast"/>
        </w:trPr>
        <w:tc>
          <w:tcPr>
            <w:tcW w:w="2263" w:type="dxa"/>
            <w:gridSpan w:val="2"/>
            <w:shd w:val="clear" w:color="auto" w:fill="FBE4D5" w:themeFill="accent2" w:themeFillTint="33"/>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市场营销</w:t>
            </w:r>
          </w:p>
        </w:tc>
        <w:tc>
          <w:tcPr>
            <w:tcW w:w="1276"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84.88</w:t>
            </w:r>
          </w:p>
        </w:tc>
        <w:tc>
          <w:tcPr>
            <w:tcW w:w="170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80.72</w:t>
            </w:r>
          </w:p>
        </w:tc>
        <w:tc>
          <w:tcPr>
            <w:tcW w:w="1419"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97.30</w:t>
            </w:r>
          </w:p>
        </w:tc>
        <w:tc>
          <w:tcPr>
            <w:tcW w:w="1636"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94.31</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85" w:hRule="atLeast"/>
        </w:trPr>
        <w:tc>
          <w:tcPr>
            <w:tcW w:w="2263" w:type="dxa"/>
            <w:gridSpan w:val="2"/>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市场营销(专科)</w:t>
            </w:r>
          </w:p>
        </w:tc>
        <w:tc>
          <w:tcPr>
            <w:tcW w:w="1276"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83.33</w:t>
            </w:r>
          </w:p>
        </w:tc>
        <w:tc>
          <w:tcPr>
            <w:tcW w:w="170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64.58</w:t>
            </w:r>
          </w:p>
        </w:tc>
        <w:tc>
          <w:tcPr>
            <w:tcW w:w="1419"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92.11</w:t>
            </w:r>
          </w:p>
        </w:tc>
        <w:tc>
          <w:tcPr>
            <w:tcW w:w="1636"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93.10</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85" w:hRule="atLeast"/>
        </w:trPr>
        <w:tc>
          <w:tcPr>
            <w:tcW w:w="2263" w:type="dxa"/>
            <w:gridSpan w:val="2"/>
            <w:shd w:val="clear" w:color="auto" w:fill="FBE4D5" w:themeFill="accent2" w:themeFillTint="33"/>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经济学</w:t>
            </w:r>
          </w:p>
        </w:tc>
        <w:tc>
          <w:tcPr>
            <w:tcW w:w="1276"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87.18</w:t>
            </w:r>
          </w:p>
        </w:tc>
        <w:tc>
          <w:tcPr>
            <w:tcW w:w="170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95.83</w:t>
            </w:r>
          </w:p>
        </w:tc>
        <w:tc>
          <w:tcPr>
            <w:tcW w:w="1419"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94.44</w:t>
            </w:r>
          </w:p>
        </w:tc>
        <w:tc>
          <w:tcPr>
            <w:tcW w:w="1636"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94.34</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85" w:hRule="atLeast"/>
        </w:trPr>
        <w:tc>
          <w:tcPr>
            <w:tcW w:w="2263" w:type="dxa"/>
            <w:gridSpan w:val="2"/>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会计（专科）</w:t>
            </w:r>
          </w:p>
        </w:tc>
        <w:tc>
          <w:tcPr>
            <w:tcW w:w="1276"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w:t>
            </w:r>
          </w:p>
        </w:tc>
        <w:tc>
          <w:tcPr>
            <w:tcW w:w="170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100.00</w:t>
            </w:r>
          </w:p>
        </w:tc>
        <w:tc>
          <w:tcPr>
            <w:tcW w:w="1419"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94.97</w:t>
            </w:r>
          </w:p>
        </w:tc>
        <w:tc>
          <w:tcPr>
            <w:tcW w:w="1636"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93.94</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85" w:hRule="atLeast"/>
        </w:trPr>
        <w:tc>
          <w:tcPr>
            <w:tcW w:w="2263" w:type="dxa"/>
            <w:gridSpan w:val="2"/>
            <w:shd w:val="clear" w:color="auto" w:fill="FBE4D5" w:themeFill="accent2" w:themeFillTint="33"/>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文化产业管理</w:t>
            </w:r>
          </w:p>
        </w:tc>
        <w:tc>
          <w:tcPr>
            <w:tcW w:w="1276"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75.00</w:t>
            </w:r>
          </w:p>
        </w:tc>
        <w:tc>
          <w:tcPr>
            <w:tcW w:w="170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82.35</w:t>
            </w:r>
          </w:p>
        </w:tc>
        <w:tc>
          <w:tcPr>
            <w:tcW w:w="1419"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100.00</w:t>
            </w:r>
          </w:p>
        </w:tc>
        <w:tc>
          <w:tcPr>
            <w:tcW w:w="1636"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93.55</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85" w:hRule="atLeast"/>
        </w:trPr>
        <w:tc>
          <w:tcPr>
            <w:tcW w:w="2263" w:type="dxa"/>
            <w:gridSpan w:val="2"/>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英语</w:t>
            </w:r>
          </w:p>
        </w:tc>
        <w:tc>
          <w:tcPr>
            <w:tcW w:w="1276"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87.18</w:t>
            </w:r>
          </w:p>
        </w:tc>
        <w:tc>
          <w:tcPr>
            <w:tcW w:w="170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89.29</w:t>
            </w:r>
          </w:p>
        </w:tc>
        <w:tc>
          <w:tcPr>
            <w:tcW w:w="1419"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96.40</w:t>
            </w:r>
          </w:p>
        </w:tc>
        <w:tc>
          <w:tcPr>
            <w:tcW w:w="1636"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93.33</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85" w:hRule="atLeast"/>
        </w:trPr>
        <w:tc>
          <w:tcPr>
            <w:tcW w:w="2263" w:type="dxa"/>
            <w:gridSpan w:val="2"/>
            <w:shd w:val="clear" w:color="auto" w:fill="FBE4D5" w:themeFill="accent2" w:themeFillTint="33"/>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金融学</w:t>
            </w:r>
          </w:p>
        </w:tc>
        <w:tc>
          <w:tcPr>
            <w:tcW w:w="1276"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80.09</w:t>
            </w:r>
          </w:p>
        </w:tc>
        <w:tc>
          <w:tcPr>
            <w:tcW w:w="170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84.74</w:t>
            </w:r>
          </w:p>
        </w:tc>
        <w:tc>
          <w:tcPr>
            <w:tcW w:w="1419"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81.53</w:t>
            </w:r>
          </w:p>
        </w:tc>
        <w:tc>
          <w:tcPr>
            <w:tcW w:w="1636"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93.09</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85" w:hRule="atLeast"/>
        </w:trPr>
        <w:tc>
          <w:tcPr>
            <w:tcW w:w="2263" w:type="dxa"/>
            <w:gridSpan w:val="2"/>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行政管理</w:t>
            </w:r>
          </w:p>
        </w:tc>
        <w:tc>
          <w:tcPr>
            <w:tcW w:w="1276"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71.79</w:t>
            </w:r>
          </w:p>
        </w:tc>
        <w:tc>
          <w:tcPr>
            <w:tcW w:w="170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73.17</w:t>
            </w:r>
          </w:p>
        </w:tc>
        <w:tc>
          <w:tcPr>
            <w:tcW w:w="1419"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97.50</w:t>
            </w:r>
          </w:p>
        </w:tc>
        <w:tc>
          <w:tcPr>
            <w:tcW w:w="1636"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93.02</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85" w:hRule="atLeast"/>
        </w:trPr>
        <w:tc>
          <w:tcPr>
            <w:tcW w:w="2263" w:type="dxa"/>
            <w:gridSpan w:val="2"/>
            <w:shd w:val="clear" w:color="auto" w:fill="FBE4D5" w:themeFill="accent2" w:themeFillTint="33"/>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财政学</w:t>
            </w:r>
          </w:p>
        </w:tc>
        <w:tc>
          <w:tcPr>
            <w:tcW w:w="1276"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77.08</w:t>
            </w:r>
          </w:p>
        </w:tc>
        <w:tc>
          <w:tcPr>
            <w:tcW w:w="170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84.09</w:t>
            </w:r>
          </w:p>
        </w:tc>
        <w:tc>
          <w:tcPr>
            <w:tcW w:w="1419"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76.09</w:t>
            </w:r>
          </w:p>
        </w:tc>
        <w:tc>
          <w:tcPr>
            <w:tcW w:w="1636"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92.86</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85" w:hRule="atLeast"/>
        </w:trPr>
        <w:tc>
          <w:tcPr>
            <w:tcW w:w="2263" w:type="dxa"/>
            <w:gridSpan w:val="2"/>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艺术设计</w:t>
            </w:r>
          </w:p>
        </w:tc>
        <w:tc>
          <w:tcPr>
            <w:tcW w:w="1276"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73.51</w:t>
            </w:r>
          </w:p>
        </w:tc>
        <w:tc>
          <w:tcPr>
            <w:tcW w:w="170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90.34</w:t>
            </w:r>
          </w:p>
        </w:tc>
        <w:tc>
          <w:tcPr>
            <w:tcW w:w="1419"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95.11</w:t>
            </w:r>
          </w:p>
        </w:tc>
        <w:tc>
          <w:tcPr>
            <w:tcW w:w="1636"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92.54</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85" w:hRule="atLeast"/>
        </w:trPr>
        <w:tc>
          <w:tcPr>
            <w:tcW w:w="2263" w:type="dxa"/>
            <w:gridSpan w:val="2"/>
            <w:shd w:val="clear" w:color="auto" w:fill="FBE4D5" w:themeFill="accent2" w:themeFillTint="33"/>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贸易经济</w:t>
            </w:r>
          </w:p>
        </w:tc>
        <w:tc>
          <w:tcPr>
            <w:tcW w:w="1276"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w:t>
            </w:r>
          </w:p>
        </w:tc>
        <w:tc>
          <w:tcPr>
            <w:tcW w:w="170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97.50</w:t>
            </w:r>
          </w:p>
        </w:tc>
        <w:tc>
          <w:tcPr>
            <w:tcW w:w="1419"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97.50</w:t>
            </w:r>
          </w:p>
        </w:tc>
        <w:tc>
          <w:tcPr>
            <w:tcW w:w="1636"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92.16</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85" w:hRule="atLeast"/>
        </w:trPr>
        <w:tc>
          <w:tcPr>
            <w:tcW w:w="2263" w:type="dxa"/>
            <w:gridSpan w:val="2"/>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国际经济与贸易</w:t>
            </w:r>
          </w:p>
        </w:tc>
        <w:tc>
          <w:tcPr>
            <w:tcW w:w="1276"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89.36</w:t>
            </w:r>
          </w:p>
        </w:tc>
        <w:tc>
          <w:tcPr>
            <w:tcW w:w="170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96.35</w:t>
            </w:r>
          </w:p>
        </w:tc>
        <w:tc>
          <w:tcPr>
            <w:tcW w:w="1419"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92.65</w:t>
            </w:r>
          </w:p>
        </w:tc>
        <w:tc>
          <w:tcPr>
            <w:tcW w:w="1636"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90.13</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85" w:hRule="atLeast"/>
        </w:trPr>
        <w:tc>
          <w:tcPr>
            <w:tcW w:w="2263" w:type="dxa"/>
            <w:gridSpan w:val="2"/>
            <w:shd w:val="clear" w:color="auto" w:fill="FBE4D5" w:themeFill="accent2" w:themeFillTint="33"/>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社会工作</w:t>
            </w:r>
          </w:p>
        </w:tc>
        <w:tc>
          <w:tcPr>
            <w:tcW w:w="1276"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84.21</w:t>
            </w:r>
          </w:p>
        </w:tc>
        <w:tc>
          <w:tcPr>
            <w:tcW w:w="170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65.38</w:t>
            </w:r>
          </w:p>
        </w:tc>
        <w:tc>
          <w:tcPr>
            <w:tcW w:w="1419"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79.17</w:t>
            </w:r>
          </w:p>
        </w:tc>
        <w:tc>
          <w:tcPr>
            <w:tcW w:w="1636"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91.30</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85" w:hRule="atLeast"/>
        </w:trPr>
        <w:tc>
          <w:tcPr>
            <w:tcW w:w="2263" w:type="dxa"/>
            <w:gridSpan w:val="2"/>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会计学</w:t>
            </w:r>
          </w:p>
        </w:tc>
        <w:tc>
          <w:tcPr>
            <w:tcW w:w="1276"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85.83</w:t>
            </w:r>
          </w:p>
        </w:tc>
        <w:tc>
          <w:tcPr>
            <w:tcW w:w="170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93.38</w:t>
            </w:r>
          </w:p>
        </w:tc>
        <w:tc>
          <w:tcPr>
            <w:tcW w:w="1419"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86.58</w:t>
            </w:r>
          </w:p>
        </w:tc>
        <w:tc>
          <w:tcPr>
            <w:tcW w:w="1636"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85.95</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85" w:hRule="atLeast"/>
        </w:trPr>
        <w:tc>
          <w:tcPr>
            <w:tcW w:w="2263" w:type="dxa"/>
            <w:gridSpan w:val="2"/>
            <w:shd w:val="clear" w:color="auto" w:fill="FBE4D5" w:themeFill="accent2" w:themeFillTint="33"/>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信息管理与信息系统</w:t>
            </w:r>
          </w:p>
        </w:tc>
        <w:tc>
          <w:tcPr>
            <w:tcW w:w="1276"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79.73</w:t>
            </w:r>
          </w:p>
        </w:tc>
        <w:tc>
          <w:tcPr>
            <w:tcW w:w="170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80.56</w:t>
            </w:r>
          </w:p>
        </w:tc>
        <w:tc>
          <w:tcPr>
            <w:tcW w:w="1419"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78.79</w:t>
            </w:r>
          </w:p>
        </w:tc>
        <w:tc>
          <w:tcPr>
            <w:tcW w:w="1636"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84.85</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85" w:hRule="atLeast"/>
        </w:trPr>
        <w:tc>
          <w:tcPr>
            <w:tcW w:w="2263" w:type="dxa"/>
            <w:gridSpan w:val="2"/>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动画</w:t>
            </w:r>
          </w:p>
        </w:tc>
        <w:tc>
          <w:tcPr>
            <w:tcW w:w="1276"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65.12</w:t>
            </w:r>
          </w:p>
        </w:tc>
        <w:tc>
          <w:tcPr>
            <w:tcW w:w="170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88.24</w:t>
            </w:r>
          </w:p>
        </w:tc>
        <w:tc>
          <w:tcPr>
            <w:tcW w:w="1419"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86.05</w:t>
            </w:r>
          </w:p>
        </w:tc>
        <w:tc>
          <w:tcPr>
            <w:tcW w:w="1636"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84.21</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85" w:hRule="atLeast"/>
        </w:trPr>
        <w:tc>
          <w:tcPr>
            <w:tcW w:w="2263" w:type="dxa"/>
            <w:gridSpan w:val="2"/>
            <w:shd w:val="clear" w:color="auto" w:fill="FBE4D5" w:themeFill="accent2" w:themeFillTint="33"/>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财务管理</w:t>
            </w:r>
          </w:p>
        </w:tc>
        <w:tc>
          <w:tcPr>
            <w:tcW w:w="1276"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86.21</w:t>
            </w:r>
          </w:p>
        </w:tc>
        <w:tc>
          <w:tcPr>
            <w:tcW w:w="170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99.38</w:t>
            </w:r>
          </w:p>
        </w:tc>
        <w:tc>
          <w:tcPr>
            <w:tcW w:w="1419"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90.96</w:t>
            </w:r>
          </w:p>
        </w:tc>
        <w:tc>
          <w:tcPr>
            <w:tcW w:w="1636"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82.41</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85" w:hRule="atLeast"/>
        </w:trPr>
        <w:tc>
          <w:tcPr>
            <w:tcW w:w="2263" w:type="dxa"/>
            <w:gridSpan w:val="2"/>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审计学</w:t>
            </w:r>
          </w:p>
        </w:tc>
        <w:tc>
          <w:tcPr>
            <w:tcW w:w="1276"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w:t>
            </w:r>
          </w:p>
        </w:tc>
        <w:tc>
          <w:tcPr>
            <w:tcW w:w="170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w:t>
            </w:r>
          </w:p>
        </w:tc>
        <w:tc>
          <w:tcPr>
            <w:tcW w:w="1419"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97.06</w:t>
            </w:r>
          </w:p>
        </w:tc>
        <w:tc>
          <w:tcPr>
            <w:tcW w:w="1636"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80.85</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85" w:hRule="atLeast"/>
        </w:trPr>
        <w:tc>
          <w:tcPr>
            <w:tcW w:w="2263" w:type="dxa"/>
            <w:gridSpan w:val="2"/>
            <w:shd w:val="clear" w:color="auto" w:fill="FBE4D5" w:themeFill="accent2" w:themeFillTint="33"/>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公共事业管理</w:t>
            </w:r>
          </w:p>
        </w:tc>
        <w:tc>
          <w:tcPr>
            <w:tcW w:w="1276"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82.14</w:t>
            </w:r>
          </w:p>
        </w:tc>
        <w:tc>
          <w:tcPr>
            <w:tcW w:w="170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w:t>
            </w:r>
          </w:p>
        </w:tc>
        <w:tc>
          <w:tcPr>
            <w:tcW w:w="1419"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88.24</w:t>
            </w:r>
          </w:p>
        </w:tc>
        <w:tc>
          <w:tcPr>
            <w:tcW w:w="1636"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w:t>
            </w:r>
          </w:p>
        </w:tc>
      </w:tr>
    </w:tbl>
    <w:p/>
    <w:p>
      <w:pPr>
        <w:pStyle w:val="24"/>
      </w:pPr>
      <w:bookmarkStart w:id="205" w:name="_Toc469038382"/>
      <w:bookmarkStart w:id="206" w:name="_Toc471310960"/>
      <w:bookmarkStart w:id="207" w:name="_Toc447037451"/>
      <w:bookmarkStart w:id="208" w:name="_Toc469038396"/>
      <w:r>
        <w:rPr>
          <w:rFonts w:hint="eastAsia"/>
        </w:rPr>
        <w:t>第五章</w:t>
      </w:r>
      <w:r>
        <w:t xml:space="preserve"> </w:t>
      </w:r>
      <w:r>
        <w:rPr>
          <w:rFonts w:hint="eastAsia"/>
        </w:rPr>
        <w:t>2016届毕业生的就业指导与服务</w:t>
      </w:r>
      <w:bookmarkEnd w:id="205"/>
      <w:bookmarkEnd w:id="206"/>
      <w:bookmarkEnd w:id="207"/>
    </w:p>
    <w:p>
      <w:pPr>
        <w:pStyle w:val="40"/>
        <w:rPr>
          <w:szCs w:val="24"/>
        </w:rPr>
      </w:pPr>
      <w:r>
        <w:rPr>
          <w:rFonts w:hint="eastAsia"/>
        </w:rPr>
        <w:t>教</w:t>
      </w:r>
      <w:r>
        <w:rPr>
          <w:rFonts w:hint="eastAsia"/>
          <w:szCs w:val="24"/>
        </w:rPr>
        <w:t>育部《关于做好2016届全国普通高等学校毕业生就业创业工作的通知》为高校就业工作明确了工作方向，2016年，学校就业工作在以科学发展观为指导，围绕学校“三升”的总体目标，以建设“湖南省就业创业优秀示范校”为年度工作目标，坚持“内强素质、外拓形象”，坚持强化就业指导、深化就业市场建设和强化就业服务，使毕业生就业工作水平和就业质量得到了不断提升。</w:t>
      </w:r>
    </w:p>
    <w:p>
      <w:pPr>
        <w:pStyle w:val="25"/>
        <w:rPr>
          <w:rFonts w:hAnsi="宋体" w:cs="宋体"/>
          <w:szCs w:val="28"/>
        </w:rPr>
      </w:pPr>
      <w:bookmarkStart w:id="209" w:name="_Toc469038383"/>
      <w:bookmarkStart w:id="210" w:name="_Toc470508321"/>
      <w:bookmarkStart w:id="211" w:name="_Toc447037453"/>
      <w:bookmarkStart w:id="212" w:name="_Toc446863917"/>
      <w:bookmarkStart w:id="213" w:name="_Toc471310961"/>
      <w:r>
        <w:rPr>
          <w:rFonts w:hint="eastAsia" w:hAnsi="宋体" w:cs="宋体"/>
          <w:szCs w:val="28"/>
        </w:rPr>
        <w:t>一、</w:t>
      </w:r>
      <w:bookmarkEnd w:id="209"/>
      <w:bookmarkEnd w:id="210"/>
      <w:bookmarkEnd w:id="211"/>
      <w:bookmarkEnd w:id="212"/>
      <w:r>
        <w:rPr>
          <w:rFonts w:hint="eastAsia" w:hAnsi="宋体" w:cs="宋体"/>
          <w:szCs w:val="28"/>
        </w:rPr>
        <w:t>全员参与——高度重视就业工作</w:t>
      </w:r>
      <w:bookmarkEnd w:id="213"/>
    </w:p>
    <w:p>
      <w:pPr>
        <w:pStyle w:val="40"/>
        <w:rPr>
          <w:szCs w:val="24"/>
        </w:rPr>
      </w:pPr>
      <w:r>
        <w:rPr>
          <w:rFonts w:hint="eastAsia"/>
          <w:szCs w:val="24"/>
        </w:rPr>
        <w:t>学校高度重视就业工作，实施校院两级管理体制改革,推进二级学院就业工作“一把手”工程制度建设,促进就业工作目标实现。一年来，学校完善了《校院两级毕业生就业工作职责》和《二级学院就业工作目标管理考核细则》，明确了二级学院毕业生就业工作的责任范围与责任目标，各二级学院也将毕业生就业工作职责与目标层层分解至专业教研室，发动教职工共同关心毕业生就业、参与毕业生就业工作。学校加强了就业工作动态管理反馈，定期通过各种渠道公布各学院就业工作开展、就业工作任务完成、招聘会组织、就业市场建设、就业指导及就业率等情况，做到工作开展有计划、工作过程有督促、工作任务能落实、工作目标能保证。初步形成了“以学校为主导、学院为基础、全员参与，全程参与”的良性工作机制。</w:t>
      </w:r>
    </w:p>
    <w:p>
      <w:pPr>
        <w:pStyle w:val="25"/>
        <w:rPr>
          <w:rFonts w:hAnsi="宋体" w:cs="宋体"/>
          <w:szCs w:val="28"/>
        </w:rPr>
      </w:pPr>
      <w:bookmarkStart w:id="214" w:name="_Toc470508322"/>
      <w:bookmarkStart w:id="215" w:name="_Toc446863916"/>
      <w:bookmarkStart w:id="216" w:name="_Toc469038384"/>
      <w:bookmarkStart w:id="217" w:name="_Toc447037452"/>
      <w:bookmarkStart w:id="218" w:name="_Toc471310962"/>
      <w:r>
        <w:rPr>
          <w:rFonts w:hint="eastAsia" w:hAnsi="宋体" w:cs="宋体"/>
          <w:szCs w:val="28"/>
        </w:rPr>
        <w:t>二、</w:t>
      </w:r>
      <w:bookmarkStart w:id="219" w:name="_Toc470508323"/>
      <w:bookmarkStart w:id="220" w:name="_Toc447037454"/>
      <w:bookmarkStart w:id="221" w:name="_Toc469038385"/>
      <w:bookmarkStart w:id="222" w:name="_Toc446863918"/>
      <w:bookmarkEnd w:id="214"/>
      <w:bookmarkEnd w:id="215"/>
      <w:bookmarkEnd w:id="216"/>
      <w:bookmarkEnd w:id="217"/>
      <w:r>
        <w:rPr>
          <w:rFonts w:hint="eastAsia" w:hAnsi="宋体" w:cs="宋体"/>
          <w:szCs w:val="28"/>
        </w:rPr>
        <w:t>建设先行——</w:t>
      </w:r>
      <w:bookmarkEnd w:id="219"/>
      <w:bookmarkEnd w:id="220"/>
      <w:bookmarkEnd w:id="221"/>
      <w:bookmarkEnd w:id="222"/>
      <w:r>
        <w:rPr>
          <w:rFonts w:hint="eastAsia" w:hAnsi="宋体" w:cs="宋体"/>
          <w:szCs w:val="28"/>
        </w:rPr>
        <w:t>构建就业信息服务立体化平台</w:t>
      </w:r>
      <w:bookmarkEnd w:id="218"/>
    </w:p>
    <w:p>
      <w:pPr>
        <w:pStyle w:val="40"/>
        <w:rPr>
          <w:szCs w:val="24"/>
        </w:rPr>
      </w:pPr>
      <w:r>
        <w:rPr>
          <w:rFonts w:hint="eastAsia"/>
          <w:szCs w:val="24"/>
        </w:rPr>
        <w:t>学校积极构建更完善的毕业生就业信息服务立体化平台，通过信息服务平台及时发布“招聘信息”“特岗教师”“大学生村官”“选调生选拔”“应征入伍”“南疆乡镇公务员招录”“大学生自主创业”“高校毕业生求职创业补助”等各类高校毕业生就业创业先关信息，确保学生能在第一时间接收并关注，实现各类就业相关信息和学生之间的无缝衔接。学校重点建设了“湖南商学院招生就业指导处”微信公众号，并通过与长沙市云研网络科技有限公司合作将微信公众号成功升级为云就业服务平台，使其功能更加全面、界面更加美观、用户体验更佳。另外通过短信免费为毕业生有针对性的及时发送就业招聘信息，本年度通过短信平台为毕业生发送就业招聘信息10万余条。</w:t>
      </w:r>
    </w:p>
    <w:p>
      <w:pPr>
        <w:pStyle w:val="25"/>
      </w:pPr>
      <w:bookmarkStart w:id="223" w:name="_Toc470508324"/>
      <w:bookmarkStart w:id="224" w:name="_Toc447037455"/>
      <w:bookmarkStart w:id="225" w:name="_Toc469038386"/>
      <w:bookmarkStart w:id="226" w:name="_Toc446863919"/>
      <w:bookmarkStart w:id="227" w:name="_Toc471310963"/>
      <w:r>
        <w:rPr>
          <w:rFonts w:hint="eastAsia"/>
        </w:rPr>
        <w:t>三、多措并举——加强就业指导</w:t>
      </w:r>
      <w:bookmarkEnd w:id="223"/>
      <w:bookmarkEnd w:id="224"/>
      <w:bookmarkEnd w:id="225"/>
      <w:bookmarkEnd w:id="226"/>
      <w:bookmarkEnd w:id="227"/>
    </w:p>
    <w:p>
      <w:pPr>
        <w:snapToGrid w:val="0"/>
        <w:spacing w:line="480" w:lineRule="exact"/>
        <w:ind w:firstLine="480" w:firstLineChars="200"/>
        <w:rPr>
          <w:rFonts w:ascii="宋体" w:hAnsi="宋体" w:cs="宋体"/>
          <w:kern w:val="0"/>
          <w:sz w:val="24"/>
          <w:szCs w:val="24"/>
        </w:rPr>
      </w:pPr>
      <w:bookmarkStart w:id="228" w:name="_Toc470508325"/>
      <w:bookmarkStart w:id="229" w:name="_Toc469038387"/>
      <w:bookmarkStart w:id="230" w:name="_Toc447037458"/>
      <w:bookmarkStart w:id="231" w:name="_Toc446863922"/>
      <w:r>
        <w:rPr>
          <w:rFonts w:hint="eastAsia" w:ascii="宋体" w:hAnsi="宋体" w:cs="宋体"/>
          <w:kern w:val="0"/>
          <w:sz w:val="24"/>
          <w:szCs w:val="24"/>
        </w:rPr>
        <w:t>一是加强对就业工作人员关于学生生涯发展与就业指导的培训力度，提高他们的指导能力，通过将生涯发展与就业指导理论和第二课堂活动结合起来，力争就业指导贯穿学生整个大学四年。2016年9月，邀请知名生涯规划专家开展了一期职业生涯与就业指导团体辅导培训，全校30名就业工作人员参训，学习了如何通过团队辅导的方式将生涯教育和就业指导贯穿到学生的第二课堂活动中去，提高就业指导的实效性。</w:t>
      </w:r>
    </w:p>
    <w:p>
      <w:pPr>
        <w:snapToGrid w:val="0"/>
        <w:spacing w:line="480" w:lineRule="exact"/>
        <w:ind w:firstLine="480" w:firstLineChars="200"/>
        <w:rPr>
          <w:rFonts w:ascii="宋体" w:hAnsi="宋体" w:cs="宋体"/>
          <w:sz w:val="24"/>
          <w:szCs w:val="24"/>
        </w:rPr>
      </w:pPr>
      <w:r>
        <w:rPr>
          <w:rFonts w:hint="eastAsia" w:ascii="宋体" w:hAnsi="宋体" w:cs="宋体"/>
          <w:kern w:val="0"/>
          <w:sz w:val="24"/>
          <w:szCs w:val="24"/>
        </w:rPr>
        <w:t>二是</w:t>
      </w:r>
      <w:r>
        <w:rPr>
          <w:rFonts w:hint="eastAsia" w:ascii="宋体" w:hAnsi="宋体" w:cs="宋体"/>
          <w:sz w:val="24"/>
          <w:szCs w:val="24"/>
        </w:rPr>
        <w:t>构建“就业指导网络平台”，联合云研网络科技有限公司开发就业指导云平台，改版并更新学校就业信息网站，开放“湖南商学院招生就业指导处”微信公众号，开展线上就业创业指导工作，能够通过手机端给学生“送政策、送指导、送岗位”。</w:t>
      </w:r>
    </w:p>
    <w:p>
      <w:pPr>
        <w:snapToGrid w:val="0"/>
        <w:spacing w:line="480" w:lineRule="exact"/>
        <w:ind w:firstLine="480" w:firstLineChars="200"/>
        <w:rPr>
          <w:rFonts w:ascii="宋体" w:hAnsi="宋体" w:cs="宋体"/>
          <w:sz w:val="24"/>
          <w:szCs w:val="24"/>
        </w:rPr>
      </w:pPr>
      <w:r>
        <w:rPr>
          <w:rFonts w:hint="eastAsia" w:ascii="宋体" w:hAnsi="宋体" w:cs="宋体"/>
          <w:sz w:val="24"/>
          <w:szCs w:val="24"/>
        </w:rPr>
        <w:t>三是举办各类就业指导活动，提升学生的考试和求职能力。</w:t>
      </w:r>
    </w:p>
    <w:p>
      <w:pPr>
        <w:pStyle w:val="54"/>
        <w:snapToGrid w:val="0"/>
        <w:spacing w:line="480" w:lineRule="exact"/>
        <w:ind w:firstLine="480"/>
        <w:rPr>
          <w:rFonts w:ascii="宋体" w:hAnsi="宋体" w:cs="宋体"/>
          <w:sz w:val="24"/>
          <w:szCs w:val="24"/>
        </w:rPr>
      </w:pPr>
      <w:r>
        <w:rPr>
          <w:rFonts w:hint="eastAsia" w:ascii="宋体" w:hAnsi="宋体" w:cs="宋体"/>
          <w:sz w:val="24"/>
          <w:szCs w:val="24"/>
        </w:rPr>
        <w:t>引进企业师资给学生做辅导：邀请知名企业资深讲师给同学们开展公务员和选调生考试、银行招考、教师招录考试以及简历制作技巧等方面的指导。</w:t>
      </w:r>
    </w:p>
    <w:p>
      <w:pPr>
        <w:pStyle w:val="54"/>
        <w:snapToGrid w:val="0"/>
        <w:spacing w:line="480" w:lineRule="exact"/>
        <w:ind w:firstLine="480"/>
        <w:rPr>
          <w:rFonts w:ascii="宋体" w:hAnsi="宋体" w:cs="宋体"/>
          <w:sz w:val="24"/>
          <w:szCs w:val="24"/>
        </w:rPr>
      </w:pPr>
      <w:r>
        <w:rPr>
          <w:rFonts w:hint="eastAsia" w:ascii="宋体" w:hAnsi="宋体" w:cs="宋体"/>
          <w:sz w:val="24"/>
          <w:szCs w:val="24"/>
        </w:rPr>
        <w:t>引进公共就业服务进校园，举办简历制作大赛和模拟求职活动，邀请永清环保、通程控股、红太阳电子科技、戴氏餐饮等公司来校现场指导学生求职。</w:t>
      </w:r>
    </w:p>
    <w:p>
      <w:pPr>
        <w:pStyle w:val="54"/>
        <w:snapToGrid w:val="0"/>
        <w:spacing w:line="480" w:lineRule="exact"/>
        <w:ind w:firstLine="480"/>
        <w:rPr>
          <w:rFonts w:ascii="宋体" w:hAnsi="宋体" w:cs="宋体"/>
          <w:sz w:val="24"/>
          <w:szCs w:val="24"/>
        </w:rPr>
      </w:pPr>
      <w:r>
        <w:rPr>
          <w:rFonts w:hint="eastAsia" w:ascii="宋体" w:hAnsi="宋体" w:cs="宋体"/>
          <w:sz w:val="24"/>
          <w:szCs w:val="24"/>
        </w:rPr>
        <w:t>将招聘活动与就业指导相结合，提高学生求职成功率。在学校举办的大中型招聘活动中设立简历门诊台，现场为学生就业问诊把脉。在2016年的省级经贸类O2O招聘大会上，还嵌入了现场直播，现场邀请银行、电商、商贸等行业的HR代表及优秀校友指导学生如何更好地找到心仪的工作，通过直播扩大就业指导的覆盖面。</w:t>
      </w:r>
    </w:p>
    <w:p>
      <w:pPr>
        <w:snapToGrid w:val="0"/>
        <w:spacing w:line="480" w:lineRule="exact"/>
        <w:ind w:firstLine="480" w:firstLineChars="200"/>
        <w:rPr>
          <w:rFonts w:ascii="宋体" w:hAnsi="宋体" w:cs="宋体"/>
          <w:sz w:val="24"/>
          <w:szCs w:val="24"/>
        </w:rPr>
      </w:pPr>
      <w:r>
        <w:rPr>
          <w:rFonts w:hint="eastAsia" w:ascii="宋体" w:hAnsi="宋体" w:cs="宋体"/>
          <w:sz w:val="24"/>
          <w:szCs w:val="24"/>
        </w:rPr>
        <w:t>开展“职业生涯规划大赛”，提高学生的职业规划意识，早谋划早准备，尽早提升就业能力，实现人职匹配。与长沙市人才网联合举办简历制作大赛、邀请企业HR现在模拟招聘活动，提升毕业生求职能力、面试能力，甚至有毕业生在模拟招聘现场就成功求职。</w:t>
      </w:r>
    </w:p>
    <w:bookmarkEnd w:id="228"/>
    <w:bookmarkEnd w:id="229"/>
    <w:bookmarkEnd w:id="230"/>
    <w:bookmarkEnd w:id="231"/>
    <w:p>
      <w:pPr>
        <w:pStyle w:val="25"/>
      </w:pPr>
      <w:bookmarkStart w:id="232" w:name="_Toc447037459"/>
      <w:bookmarkStart w:id="233" w:name="_Toc446863923"/>
      <w:bookmarkStart w:id="234" w:name="_Toc469038388"/>
      <w:bookmarkStart w:id="235" w:name="_Toc470508326"/>
      <w:bookmarkStart w:id="236" w:name="_Toc471310964"/>
      <w:r>
        <w:rPr>
          <w:rFonts w:hint="eastAsia"/>
        </w:rPr>
        <w:t>四、整合资源——</w:t>
      </w:r>
      <w:bookmarkEnd w:id="232"/>
      <w:bookmarkEnd w:id="233"/>
      <w:bookmarkEnd w:id="234"/>
      <w:bookmarkEnd w:id="235"/>
      <w:r>
        <w:rPr>
          <w:rFonts w:hint="eastAsia"/>
        </w:rPr>
        <w:t>加强毕业生就业市场建设</w:t>
      </w:r>
      <w:bookmarkEnd w:id="236"/>
    </w:p>
    <w:p>
      <w:pPr>
        <w:spacing w:line="480" w:lineRule="exact"/>
        <w:ind w:firstLine="480" w:firstLineChars="200"/>
        <w:rPr>
          <w:rFonts w:ascii="宋体" w:hAnsi="宋体" w:cs="宋体"/>
          <w:sz w:val="24"/>
          <w:szCs w:val="24"/>
        </w:rPr>
      </w:pPr>
      <w:r>
        <w:rPr>
          <w:rFonts w:hint="eastAsia" w:ascii="宋体" w:hAnsi="宋体" w:cs="宋体"/>
          <w:sz w:val="24"/>
          <w:szCs w:val="24"/>
        </w:rPr>
        <w:t>1、依托政府资源，大力引进就业公共服务进校园,加强区域就业市场建设。以长株潭市场为中心，珠三角、长三角市场为重点，联系县、区级及以上的人事劳动部门，邀请他们组织其区域内知名企业、上市公司组团来学校举办专场招聘活动。一年来，与长沙市人社局、岳麓区人社局、湖南省人才市场、长沙市经开区人才市场、江苏昆山市人力资源市场、江苏盐城市人社局、浙江金华市人才市场、浙江乐清市人社局、浙江温州市人社局、浙江义乌诚商会、深圳市龙岗政府部门、深圳市罗湖人社局、福建泉州市人社局联系，广泛开展校政、校地、校企合作洽谈，引进人社部门组团进校开展中型专场招聘活动10场，争取政府项目资金补贴校园招聘活动224600元。</w:t>
      </w:r>
    </w:p>
    <w:p>
      <w:pPr>
        <w:spacing w:line="480" w:lineRule="exact"/>
        <w:ind w:firstLine="480" w:firstLineChars="200"/>
        <w:rPr>
          <w:rFonts w:ascii="宋体" w:hAnsi="宋体" w:cs="宋体"/>
          <w:sz w:val="24"/>
          <w:szCs w:val="24"/>
        </w:rPr>
      </w:pPr>
      <w:r>
        <w:rPr>
          <w:rFonts w:hint="eastAsia" w:ascii="宋体" w:hAnsi="宋体" w:cs="宋体"/>
          <w:sz w:val="24"/>
          <w:szCs w:val="24"/>
        </w:rPr>
        <w:t>2、依托学院专业建设平台和校友资源，加强行业性、专业性就业市场建设。依托各二级学院专业行业资源优势，加强与湖南省电子商务协会、义乌市跨境电商协会、岳麓区装饰行业协会，积极建设行业性、专业性就业市场。同时，联合校友会充分挖掘校友资源，广泛联系校友企业，为校友企业与毕业生搭建人才需求与供给平台。一年来，联合各二级学院举办了跨境电商类、工商管类、财务会计类、市场营销类等行业性中型招聘会6场；走访并邀请了金铭电子、广东一方制药、家家顺、澳优乳业等多家校友企业来校选拔相关专业毕业生。</w:t>
      </w:r>
    </w:p>
    <w:p>
      <w:pPr>
        <w:spacing w:line="480" w:lineRule="exact"/>
        <w:ind w:firstLine="480" w:firstLineChars="200"/>
        <w:rPr>
          <w:rFonts w:ascii="宋体" w:hAnsi="宋体" w:cs="宋体"/>
          <w:sz w:val="24"/>
          <w:szCs w:val="24"/>
        </w:rPr>
      </w:pPr>
      <w:r>
        <w:rPr>
          <w:rFonts w:hint="eastAsia" w:ascii="宋体" w:hAnsi="宋体" w:cs="宋体"/>
          <w:sz w:val="24"/>
          <w:szCs w:val="24"/>
        </w:rPr>
        <w:t>3、搭建平台，加强校园就业市场建设。（1）积极开拓就业市场，宣传、推荐学校毕业生，邀请用人单位来校选拔学生。2016年，学校派出两个队伍相继走访了长三角、珠三角40来个政府企业部门，与这些政府企业开展了校企合作座谈和企业实地考察，签订了18项就业基地合作协议，为校园招聘会奠定了较好的基础。（2）搭建就业网络平台，举办网络招聘双选周。2016年上半年，举办湖南商学院大型网络双选招聘会，共有来自全国各地97家用人单位，为毕业生提供</w:t>
      </w:r>
      <w:r>
        <w:rPr>
          <w:rFonts w:ascii="宋体" w:hAnsi="宋体" w:cs="宋体"/>
          <w:sz w:val="24"/>
          <w:szCs w:val="24"/>
        </w:rPr>
        <w:t>1606</w:t>
      </w:r>
      <w:r>
        <w:rPr>
          <w:rFonts w:hint="eastAsia" w:ascii="宋体" w:hAnsi="宋体" w:cs="宋体"/>
          <w:sz w:val="24"/>
          <w:szCs w:val="24"/>
        </w:rPr>
        <w:t>个岗位。招聘周期间，免费为毕业生开放网络视频招聘室，方便广大毕业生投递简历，为用人单位提供网络视频招聘服务，得到了毕业生和用人单位的广泛认可。平时</w:t>
      </w:r>
      <w:r>
        <w:rPr>
          <w:rFonts w:ascii="宋体" w:hAnsi="宋体" w:cs="宋体"/>
          <w:sz w:val="24"/>
          <w:szCs w:val="24"/>
        </w:rPr>
        <w:t>，</w:t>
      </w:r>
      <w:r>
        <w:rPr>
          <w:rFonts w:hint="eastAsia" w:ascii="宋体" w:hAnsi="宋体" w:cs="宋体"/>
          <w:sz w:val="24"/>
          <w:szCs w:val="24"/>
        </w:rPr>
        <w:t>通过审核参加在线招聘的单位</w:t>
      </w:r>
      <w:r>
        <w:rPr>
          <w:rFonts w:ascii="宋体" w:hAnsi="宋体" w:cs="宋体"/>
          <w:sz w:val="24"/>
          <w:szCs w:val="24"/>
        </w:rPr>
        <w:t>874</w:t>
      </w:r>
      <w:r>
        <w:rPr>
          <w:rFonts w:hint="eastAsia" w:ascii="宋体" w:hAnsi="宋体" w:cs="宋体"/>
          <w:sz w:val="24"/>
          <w:szCs w:val="24"/>
        </w:rPr>
        <w:t>家，提供就业岗位17701个</w:t>
      </w:r>
      <w:r>
        <w:rPr>
          <w:rFonts w:ascii="宋体" w:hAnsi="宋体" w:cs="宋体"/>
          <w:sz w:val="24"/>
          <w:szCs w:val="24"/>
        </w:rPr>
        <w:t>。</w:t>
      </w:r>
    </w:p>
    <w:p>
      <w:pPr>
        <w:pStyle w:val="25"/>
      </w:pPr>
      <w:bookmarkStart w:id="237" w:name="_Toc447037457"/>
      <w:bookmarkStart w:id="238" w:name="_Toc446863921"/>
      <w:bookmarkStart w:id="239" w:name="_Toc469038391"/>
      <w:bookmarkStart w:id="240" w:name="_Toc470508329"/>
      <w:bookmarkStart w:id="241" w:name="_Toc471310965"/>
      <w:r>
        <w:rPr>
          <w:rFonts w:hint="eastAsia"/>
        </w:rPr>
        <w:t>五、精准帮扶——助推就业困难生</w:t>
      </w:r>
      <w:bookmarkEnd w:id="237"/>
      <w:bookmarkEnd w:id="238"/>
      <w:bookmarkEnd w:id="239"/>
      <w:bookmarkEnd w:id="240"/>
      <w:r>
        <w:rPr>
          <w:rFonts w:hint="eastAsia"/>
        </w:rPr>
        <w:t>求职</w:t>
      </w:r>
      <w:bookmarkEnd w:id="241"/>
    </w:p>
    <w:p>
      <w:pPr>
        <w:pStyle w:val="54"/>
        <w:widowControl/>
        <w:snapToGrid w:val="0"/>
        <w:spacing w:line="480" w:lineRule="exact"/>
        <w:ind w:firstLine="480"/>
        <w:jc w:val="left"/>
        <w:rPr>
          <w:rFonts w:ascii="宋体" w:hAnsi="宋体" w:cs="宋体"/>
          <w:sz w:val="24"/>
          <w:szCs w:val="24"/>
        </w:rPr>
      </w:pPr>
      <w:r>
        <w:rPr>
          <w:rFonts w:hint="eastAsia" w:ascii="宋体" w:hAnsi="宋体" w:cs="宋体"/>
          <w:sz w:val="24"/>
          <w:szCs w:val="24"/>
        </w:rPr>
        <w:t>认真做好就业困难生的精准帮扶工作,通过建立帮扶台账、设立专项帮扶资金、明确专人一对一帮扶、举办专场招聘会、开通“就业爱心直通车”、发放求职补贴等形式，为就业困难学生在心理上、经济上、岗位信息提供上给予全方位帮扶。2016年，共举办“就业帮扶”主题招聘会9场，邀请用人单位298家，为就业困难毕业生提供岗位约7000余个；为93名经济困难毕业生发放一次性求职补助46500元，为177名毕业生争取长沙市大学生求职创业补贴141600元，为8名去南疆乡镇工作的毕业生发放8000元就业奖励。通过多形式多渠道的帮扶， 我校225名建档就业困难毕业生中有212名（94.2%）落实了就业岗位。</w:t>
      </w:r>
    </w:p>
    <w:p>
      <w:pPr>
        <w:pStyle w:val="40"/>
        <w:rPr>
          <w:szCs w:val="24"/>
        </w:rPr>
      </w:pPr>
      <w:r>
        <w:rPr>
          <w:rFonts w:hint="eastAsia" w:ascii="宋体" w:hAnsi="宋体"/>
          <w:szCs w:val="24"/>
        </w:rPr>
        <w:t>2016年，学校领导高度重视毕业生就业创业工作，就业指导到位，就业服务基础扎实，就业岗位充足，成效突出，受到了媒体的广泛关注。潇湘晨报以《招聘会上“喊一喊”可搜索职位》为题、三湘都市报以《大数据显威，供需见面流行O2O 》为题、红网以《经贸类2017届高校毕业生供需见会举行》为题、湖南经视、教育电视台报道了我校的就业服务工作。另外我校还荣获“湖南省就业创业工作一把手工程督查示范校”、长沙市人社局第四届“人才网”杯简历制作大赛“优秀组织奖”，得到了上级主管部门和社会各界的一致好评。</w:t>
      </w:r>
    </w:p>
    <w:p/>
    <w:p/>
    <w:p>
      <w:pPr>
        <w:rPr>
          <w:rFonts w:hint="eastAsia"/>
        </w:rPr>
      </w:pPr>
    </w:p>
    <w:p>
      <w:pPr>
        <w:pStyle w:val="2"/>
        <w:jc w:val="center"/>
        <w:rPr>
          <w:sz w:val="30"/>
          <w:szCs w:val="30"/>
        </w:rPr>
      </w:pPr>
      <w:bookmarkStart w:id="242" w:name="_Toc471310966"/>
      <w:r>
        <w:rPr>
          <w:rFonts w:hint="eastAsia"/>
          <w:sz w:val="30"/>
          <w:szCs w:val="30"/>
        </w:rPr>
        <w:t>第六章 对教育教学的</w:t>
      </w:r>
      <w:r>
        <w:rPr>
          <w:sz w:val="30"/>
          <w:szCs w:val="30"/>
        </w:rPr>
        <w:t>反馈</w:t>
      </w:r>
      <w:bookmarkEnd w:id="208"/>
      <w:bookmarkEnd w:id="242"/>
    </w:p>
    <w:p>
      <w:pPr>
        <w:pStyle w:val="25"/>
      </w:pPr>
      <w:bookmarkStart w:id="243" w:name="_Toc469038397"/>
      <w:bookmarkStart w:id="244" w:name="_Toc471310967"/>
      <w:r>
        <w:rPr>
          <w:rFonts w:hint="eastAsia"/>
        </w:rPr>
        <w:t>一、</w:t>
      </w:r>
      <w:r>
        <w:t>2016</w:t>
      </w:r>
      <w:r>
        <w:rPr>
          <w:rFonts w:hint="eastAsia"/>
        </w:rPr>
        <w:t>届毕业生对母校教育教学的</w:t>
      </w:r>
      <w:r>
        <w:t>评价</w:t>
      </w:r>
      <w:bookmarkEnd w:id="243"/>
      <w:bookmarkEnd w:id="244"/>
    </w:p>
    <w:p>
      <w:pPr>
        <w:pStyle w:val="30"/>
      </w:pPr>
      <w:bookmarkStart w:id="245" w:name="_Toc469038398"/>
      <w:bookmarkStart w:id="246" w:name="_Toc471310968"/>
      <w:r>
        <w:rPr>
          <w:rFonts w:hint="eastAsia"/>
        </w:rPr>
        <w:t>（一）毕业生对创业政策</w:t>
      </w:r>
      <w:r>
        <w:t>的了解程度</w:t>
      </w:r>
      <w:bookmarkEnd w:id="245"/>
      <w:bookmarkEnd w:id="246"/>
    </w:p>
    <w:p>
      <w:pPr>
        <w:pStyle w:val="40"/>
      </w:pPr>
      <w:r>
        <w:rPr>
          <w:rFonts w:hint="eastAsia"/>
        </w:rPr>
        <w:t>根据调研</w:t>
      </w:r>
      <w:r>
        <w:t>数据统计，</w:t>
      </w:r>
      <w:r>
        <w:rPr>
          <w:rFonts w:hint="eastAsia"/>
        </w:rPr>
        <w:t>参与</w:t>
      </w:r>
      <w:r>
        <w:t>调研的</w:t>
      </w:r>
      <w:r>
        <w:rPr>
          <w:rFonts w:hint="eastAsia"/>
        </w:rPr>
        <w:t>2016届2222名</w:t>
      </w:r>
      <w:r>
        <w:t>毕业生</w:t>
      </w:r>
      <w:r>
        <w:rPr>
          <w:rFonts w:hint="eastAsia"/>
        </w:rPr>
        <w:t>中83.84</w:t>
      </w:r>
      <w:r>
        <w:t>%的毕业</w:t>
      </w:r>
      <w:r>
        <w:rPr>
          <w:rFonts w:hint="eastAsia"/>
        </w:rPr>
        <w:t>生表示</w:t>
      </w:r>
      <w:r>
        <w:t>对国家创业</w:t>
      </w:r>
      <w:r>
        <w:rPr>
          <w:rFonts w:hint="eastAsia"/>
        </w:rPr>
        <w:t>政策</w:t>
      </w:r>
      <w:r>
        <w:t>了解，其中</w:t>
      </w:r>
      <w:r>
        <w:rPr>
          <w:rFonts w:hint="eastAsia"/>
        </w:rPr>
        <w:t>包括选择非常</w:t>
      </w:r>
      <w:r>
        <w:t>了解</w:t>
      </w:r>
      <w:r>
        <w:rPr>
          <w:rFonts w:hint="eastAsia"/>
        </w:rPr>
        <w:t>的人数</w:t>
      </w:r>
      <w:r>
        <w:t>占比</w:t>
      </w:r>
      <w:r>
        <w:rPr>
          <w:rFonts w:hint="eastAsia"/>
        </w:rPr>
        <w:t>7.07</w:t>
      </w:r>
      <w:r>
        <w:t>%</w:t>
      </w:r>
      <w:r>
        <w:rPr>
          <w:rFonts w:hint="eastAsia"/>
        </w:rPr>
        <w:t>，选择</w:t>
      </w:r>
      <w:r>
        <w:t>了解的</w:t>
      </w:r>
      <w:r>
        <w:rPr>
          <w:rFonts w:hint="eastAsia"/>
        </w:rPr>
        <w:t>人数</w:t>
      </w:r>
      <w:r>
        <w:t>占比</w:t>
      </w:r>
      <w:r>
        <w:rPr>
          <w:rFonts w:hint="eastAsia"/>
        </w:rPr>
        <w:t>58.82</w:t>
      </w:r>
      <w:r>
        <w:t>%</w:t>
      </w:r>
      <w:r>
        <w:rPr>
          <w:rFonts w:hint="eastAsia"/>
        </w:rPr>
        <w:t>，选择</w:t>
      </w:r>
      <w:r>
        <w:t>比较了解的</w:t>
      </w:r>
      <w:r>
        <w:rPr>
          <w:rFonts w:hint="eastAsia"/>
        </w:rPr>
        <w:t>人数</w:t>
      </w:r>
      <w:r>
        <w:t>占比</w:t>
      </w:r>
      <w:r>
        <w:rPr>
          <w:rFonts w:hint="eastAsia"/>
        </w:rPr>
        <w:t>17.96</w:t>
      </w:r>
      <w:r>
        <w:t>%。</w:t>
      </w:r>
      <w:r>
        <w:rPr>
          <w:rFonts w:hint="eastAsia"/>
        </w:rPr>
        <w:t>说明</w:t>
      </w:r>
      <w:r>
        <w:t>大部分的毕业生对</w:t>
      </w:r>
      <w:r>
        <w:rPr>
          <w:rFonts w:hint="eastAsia"/>
        </w:rPr>
        <w:t>国家</w:t>
      </w:r>
      <w:r>
        <w:t>的创业政策</w:t>
      </w:r>
      <w:r>
        <w:rPr>
          <w:rFonts w:hint="eastAsia"/>
        </w:rPr>
        <w:t>有一定</w:t>
      </w:r>
      <w:r>
        <w:t>了解</w:t>
      </w:r>
      <w:r>
        <w:rPr>
          <w:rFonts w:hint="eastAsia"/>
        </w:rPr>
        <w:t>。</w:t>
      </w:r>
    </w:p>
    <w:p>
      <w:pPr>
        <w:jc w:val="center"/>
      </w:pPr>
      <w:r>
        <w:drawing>
          <wp:inline distT="0" distB="0" distL="0" distR="0">
            <wp:extent cx="4572000" cy="2743200"/>
            <wp:effectExtent l="0" t="0" r="0" b="0"/>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pPr>
        <w:pStyle w:val="8"/>
        <w:jc w:val="center"/>
        <w:rPr>
          <w:rFonts w:asciiTheme="minorEastAsia" w:hAnsiTheme="minorEastAsia" w:eastAsiaTheme="minorEastAsia"/>
          <w:sz w:val="18"/>
          <w:szCs w:val="18"/>
        </w:rPr>
      </w:pPr>
      <w:bookmarkStart w:id="247" w:name="_Toc470886997"/>
      <w:r>
        <w:rPr>
          <w:rFonts w:hint="eastAsia" w:asciiTheme="minorEastAsia" w:hAnsiTheme="minorEastAsia" w:eastAsiaTheme="minorEastAsia"/>
          <w:sz w:val="18"/>
          <w:szCs w:val="18"/>
        </w:rPr>
        <w:t>图6-</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图6-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1</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毕业生</w:t>
      </w:r>
      <w:r>
        <w:rPr>
          <w:rFonts w:asciiTheme="minorEastAsia" w:hAnsiTheme="minorEastAsia" w:eastAsiaTheme="minorEastAsia"/>
          <w:sz w:val="18"/>
          <w:szCs w:val="18"/>
        </w:rPr>
        <w:t>对创业</w:t>
      </w:r>
      <w:r>
        <w:rPr>
          <w:rFonts w:hint="eastAsia" w:asciiTheme="minorEastAsia" w:hAnsiTheme="minorEastAsia" w:eastAsiaTheme="minorEastAsia"/>
          <w:sz w:val="18"/>
          <w:szCs w:val="18"/>
        </w:rPr>
        <w:t>政策</w:t>
      </w:r>
      <w:r>
        <w:rPr>
          <w:rFonts w:asciiTheme="minorEastAsia" w:hAnsiTheme="minorEastAsia" w:eastAsiaTheme="minorEastAsia"/>
          <w:sz w:val="18"/>
          <w:szCs w:val="18"/>
        </w:rPr>
        <w:t>的了解程度</w:t>
      </w:r>
      <w:bookmarkEnd w:id="247"/>
    </w:p>
    <w:p>
      <w:pPr>
        <w:pStyle w:val="30"/>
      </w:pPr>
      <w:bookmarkStart w:id="248" w:name="_Toc471310969"/>
      <w:bookmarkStart w:id="249" w:name="_Toc469038399"/>
      <w:r>
        <w:rPr>
          <w:rFonts w:hint="eastAsia"/>
        </w:rPr>
        <w:t>（二）毕业生对</w:t>
      </w:r>
      <w:r>
        <w:t>母校</w:t>
      </w:r>
      <w:r>
        <w:rPr>
          <w:rFonts w:hint="eastAsia"/>
        </w:rPr>
        <w:t>教学方面</w:t>
      </w:r>
      <w:r>
        <w:t>的评价</w:t>
      </w:r>
      <w:bookmarkEnd w:id="248"/>
      <w:bookmarkEnd w:id="249"/>
    </w:p>
    <w:p>
      <w:pPr>
        <w:pStyle w:val="33"/>
      </w:pPr>
      <w:bookmarkStart w:id="250" w:name="_Toc469038400"/>
      <w:r>
        <w:t>1.</w:t>
      </w:r>
      <w:r>
        <w:rPr>
          <w:rFonts w:hint="eastAsia"/>
        </w:rPr>
        <w:t>毕业生对母校教学方面</w:t>
      </w:r>
      <w:r>
        <w:t>的满意度</w:t>
      </w:r>
      <w:bookmarkEnd w:id="250"/>
    </w:p>
    <w:p>
      <w:pPr>
        <w:pStyle w:val="40"/>
      </w:pPr>
      <w:r>
        <w:rPr>
          <w:rFonts w:hint="eastAsia"/>
        </w:rPr>
        <w:t>以下针对毕业生对</w:t>
      </w:r>
      <w:r>
        <w:t>母校老师授课、实践教学、课程设置</w:t>
      </w:r>
      <w:r>
        <w:rPr>
          <w:rFonts w:hint="eastAsia"/>
        </w:rPr>
        <w:t>、专业</w:t>
      </w:r>
      <w:r>
        <w:t>设置和总体人才培养</w:t>
      </w:r>
      <w:r>
        <w:rPr>
          <w:rFonts w:hint="eastAsia"/>
        </w:rPr>
        <w:t>6个</w:t>
      </w:r>
      <w:r>
        <w:t>指标的满意度进行调查，各指标分别以</w:t>
      </w:r>
      <w:r>
        <w:rPr>
          <w:rFonts w:hint="eastAsia"/>
        </w:rPr>
        <w:t>“非常满意”“</w:t>
      </w:r>
      <w:r>
        <w:t>满意</w:t>
      </w:r>
      <w:r>
        <w:rPr>
          <w:rFonts w:hint="eastAsia"/>
        </w:rPr>
        <w:t>”“</w:t>
      </w:r>
      <w:r>
        <w:t>比较满意</w:t>
      </w:r>
      <w:r>
        <w:rPr>
          <w:rFonts w:hint="eastAsia"/>
        </w:rPr>
        <w:t>”“</w:t>
      </w:r>
      <w:r>
        <w:t>不太满意</w:t>
      </w:r>
      <w:r>
        <w:rPr>
          <w:rFonts w:hint="eastAsia"/>
        </w:rPr>
        <w:t>”“</w:t>
      </w:r>
      <w:r>
        <w:t>很不满意</w:t>
      </w:r>
      <w:r>
        <w:rPr>
          <w:rFonts w:hint="eastAsia"/>
        </w:rPr>
        <w:t>”</w:t>
      </w:r>
      <w:r>
        <w:t>进行</w:t>
      </w:r>
      <w:r>
        <w:rPr>
          <w:rFonts w:hint="eastAsia"/>
        </w:rPr>
        <w:t>测评，</w:t>
      </w:r>
      <w:r>
        <w:t>接下来对满意度进行</w:t>
      </w:r>
      <w:r>
        <w:rPr>
          <w:rFonts w:hint="eastAsia"/>
        </w:rPr>
        <w:t>5-1分</w:t>
      </w:r>
      <w:r>
        <w:t>赋值，</w:t>
      </w:r>
      <w:r>
        <w:rPr>
          <w:rFonts w:hint="eastAsia"/>
        </w:rPr>
        <w:t>计算</w:t>
      </w:r>
      <w:r>
        <w:t>其满意度和平均得分</w:t>
      </w:r>
      <w:r>
        <w:rPr>
          <w:rFonts w:hint="eastAsia"/>
        </w:rPr>
        <w:t>如</w:t>
      </w:r>
      <w:r>
        <w:t>表</w:t>
      </w:r>
      <w:r>
        <w:rPr>
          <w:rFonts w:hint="eastAsia"/>
        </w:rPr>
        <w:t>6</w:t>
      </w:r>
      <w:r>
        <w:t>-1所示：</w:t>
      </w:r>
    </w:p>
    <w:p>
      <w:pPr>
        <w:pStyle w:val="40"/>
      </w:pPr>
      <w:r>
        <w:t xml:space="preserve"> </w:t>
      </w:r>
      <w:r>
        <w:rPr>
          <w:rFonts w:hint="eastAsia"/>
        </w:rPr>
        <w:t>毕业生</w:t>
      </w:r>
      <w:r>
        <w:t>对母校整体人才培养的满意度为</w:t>
      </w:r>
      <w:r>
        <w:rPr>
          <w:rFonts w:hint="eastAsia"/>
        </w:rPr>
        <w:t>89.65</w:t>
      </w:r>
      <w:r>
        <w:t>%</w:t>
      </w:r>
      <w:r>
        <w:rPr>
          <w:rFonts w:hint="eastAsia"/>
        </w:rPr>
        <w:t>。毕业生</w:t>
      </w:r>
      <w:r>
        <w:t>对</w:t>
      </w:r>
      <w:r>
        <w:rPr>
          <w:rFonts w:hint="eastAsia"/>
        </w:rPr>
        <w:t>母校老师</w:t>
      </w:r>
      <w:r>
        <w:t>授课的满意度</w:t>
      </w:r>
      <w:r>
        <w:rPr>
          <w:rFonts w:hint="eastAsia"/>
        </w:rPr>
        <w:t>最高</w:t>
      </w:r>
      <w:r>
        <w:t>为</w:t>
      </w:r>
      <w:r>
        <w:rPr>
          <w:rFonts w:hint="eastAsia"/>
        </w:rPr>
        <w:t>92.89</w:t>
      </w:r>
      <w:r>
        <w:t>%，</w:t>
      </w:r>
      <w:r>
        <w:rPr>
          <w:rFonts w:hint="eastAsia"/>
        </w:rPr>
        <w:t>对</w:t>
      </w:r>
      <w:r>
        <w:t>母校实践教学的满意度相对较低</w:t>
      </w:r>
      <w:r>
        <w:rPr>
          <w:rFonts w:hint="eastAsia"/>
        </w:rPr>
        <w:t>，</w:t>
      </w:r>
      <w:r>
        <w:t>满意度为</w:t>
      </w:r>
      <w:r>
        <w:rPr>
          <w:rFonts w:hint="eastAsia"/>
        </w:rPr>
        <w:t>81.50</w:t>
      </w:r>
      <w:r>
        <w:t>%，</w:t>
      </w:r>
      <w:r>
        <w:rPr>
          <w:rFonts w:hint="eastAsia"/>
        </w:rPr>
        <w:t>因此学校</w:t>
      </w:r>
      <w:r>
        <w:t>应该</w:t>
      </w:r>
      <w:r>
        <w:rPr>
          <w:rFonts w:hint="eastAsia"/>
        </w:rPr>
        <w:t>增加</w:t>
      </w:r>
      <w:r>
        <w:t>学校</w:t>
      </w:r>
      <w:r>
        <w:rPr>
          <w:rFonts w:hint="eastAsia"/>
        </w:rPr>
        <w:t>实践</w:t>
      </w:r>
      <w:r>
        <w:t>教学课程，让</w:t>
      </w:r>
      <w:r>
        <w:rPr>
          <w:rFonts w:hint="eastAsia"/>
        </w:rPr>
        <w:t>毕业生</w:t>
      </w:r>
      <w:r>
        <w:t>能够将课堂上的理论知识应用到实践中去</w:t>
      </w:r>
      <w:r>
        <w:rPr>
          <w:rFonts w:hint="eastAsia"/>
        </w:rPr>
        <w:t>。</w:t>
      </w:r>
    </w:p>
    <w:p>
      <w:pPr>
        <w:pStyle w:val="40"/>
      </w:pPr>
      <w:r>
        <w:t xml:space="preserve"> 毕业生的满意度平均得分</w:t>
      </w:r>
      <w:r>
        <w:rPr>
          <w:rFonts w:hint="eastAsia"/>
        </w:rPr>
        <w:t>整体</w:t>
      </w:r>
      <w:r>
        <w:t>较高，毕业生</w:t>
      </w:r>
      <w:r>
        <w:rPr>
          <w:rFonts w:hint="eastAsia"/>
        </w:rPr>
        <w:t>对</w:t>
      </w:r>
      <w:r>
        <w:t>母校的</w:t>
      </w:r>
      <w:r>
        <w:rPr>
          <w:rFonts w:hint="eastAsia"/>
        </w:rPr>
        <w:t>教学</w:t>
      </w:r>
      <w:r>
        <w:t>方面</w:t>
      </w:r>
      <w:r>
        <w:rPr>
          <w:rFonts w:hint="eastAsia"/>
        </w:rPr>
        <w:t>指标</w:t>
      </w:r>
      <w:r>
        <w:t>得分都在</w:t>
      </w:r>
      <w:r>
        <w:rPr>
          <w:rFonts w:hint="eastAsia"/>
        </w:rPr>
        <w:t>3.5分</w:t>
      </w:r>
      <w:r>
        <w:t>以上</w:t>
      </w:r>
      <w:r>
        <w:rPr>
          <w:rFonts w:hint="eastAsia"/>
        </w:rPr>
        <w:t>。</w:t>
      </w:r>
      <w:r>
        <w:t>老师</w:t>
      </w:r>
      <w:r>
        <w:rPr>
          <w:rFonts w:hint="eastAsia"/>
        </w:rPr>
        <w:t>授课</w:t>
      </w:r>
      <w:r>
        <w:t>的</w:t>
      </w:r>
      <w:r>
        <w:rPr>
          <w:rFonts w:hint="eastAsia"/>
        </w:rPr>
        <w:t>满意度</w:t>
      </w:r>
      <w:r>
        <w:t>平均得分最高，为</w:t>
      </w:r>
      <w:r>
        <w:rPr>
          <w:rFonts w:hint="eastAsia"/>
        </w:rPr>
        <w:t>3.72分</w:t>
      </w:r>
      <w:r>
        <w:t>，实践教学的满意度平均得分</w:t>
      </w:r>
      <w:r>
        <w:rPr>
          <w:rFonts w:hint="eastAsia"/>
        </w:rPr>
        <w:t>最低</w:t>
      </w:r>
      <w:r>
        <w:t>，为</w:t>
      </w:r>
      <w:r>
        <w:rPr>
          <w:rFonts w:hint="eastAsia"/>
        </w:rPr>
        <w:t>3.47分</w:t>
      </w:r>
      <w:r>
        <w:t>。</w:t>
      </w:r>
      <w:r>
        <w:rPr>
          <w:rFonts w:hint="eastAsia"/>
        </w:rPr>
        <w:t>以5分</w:t>
      </w:r>
      <w:r>
        <w:t>为衡量标准，当前</w:t>
      </w:r>
      <w:r>
        <w:rPr>
          <w:rFonts w:hint="eastAsia"/>
        </w:rPr>
        <w:t>学校</w:t>
      </w:r>
      <w:r>
        <w:t>教学培养工作</w:t>
      </w:r>
      <w:r>
        <w:rPr>
          <w:rFonts w:hint="eastAsia"/>
        </w:rPr>
        <w:t>从</w:t>
      </w:r>
      <w:r>
        <w:t>毕业生角度</w:t>
      </w:r>
      <w:r>
        <w:rPr>
          <w:rFonts w:hint="eastAsia"/>
        </w:rPr>
        <w:t>获得的评价都</w:t>
      </w:r>
      <w:r>
        <w:t>尚</w:t>
      </w:r>
      <w:r>
        <w:rPr>
          <w:rFonts w:hint="eastAsia"/>
        </w:rPr>
        <w:t>有</w:t>
      </w:r>
      <w:r>
        <w:t>进步</w:t>
      </w:r>
      <w:r>
        <w:rPr>
          <w:rFonts w:hint="eastAsia"/>
        </w:rPr>
        <w:t>空间，</w:t>
      </w:r>
      <w:r>
        <w:t>各高校应在日后的工作中不断加强对教师授课</w:t>
      </w:r>
      <w:r>
        <w:rPr>
          <w:rFonts w:hint="eastAsia"/>
        </w:rPr>
        <w:t>、</w:t>
      </w:r>
      <w:r>
        <w:t>实践教学</w:t>
      </w:r>
      <w:r>
        <w:rPr>
          <w:rFonts w:hint="eastAsia"/>
        </w:rPr>
        <w:t>、专业设置、</w:t>
      </w:r>
      <w:r>
        <w:t>课程设置以及人才培养工作的完善和推进，</w:t>
      </w:r>
      <w:r>
        <w:rPr>
          <w:rFonts w:hint="eastAsia"/>
        </w:rPr>
        <w:t>特别是</w:t>
      </w:r>
      <w:r>
        <w:t>对于</w:t>
      </w:r>
      <w:r>
        <w:rPr>
          <w:rFonts w:hint="eastAsia"/>
        </w:rPr>
        <w:t>实践教学</w:t>
      </w:r>
      <w:r>
        <w:t>工作，应当更加重视，争取符合学生期待，</w:t>
      </w:r>
      <w:r>
        <w:rPr>
          <w:rFonts w:hint="eastAsia"/>
        </w:rPr>
        <w:t>在</w:t>
      </w:r>
      <w:r>
        <w:t>未来</w:t>
      </w:r>
      <w:r>
        <w:rPr>
          <w:rFonts w:hint="eastAsia"/>
        </w:rPr>
        <w:t>取</w:t>
      </w:r>
      <w:r>
        <w:t>得长足进步。</w:t>
      </w:r>
    </w:p>
    <w:p>
      <w:pPr>
        <w:pStyle w:val="8"/>
        <w:jc w:val="center"/>
        <w:rPr>
          <w:rFonts w:asciiTheme="majorEastAsia" w:hAnsiTheme="majorEastAsia" w:eastAsiaTheme="majorEastAsia"/>
          <w:sz w:val="18"/>
          <w:szCs w:val="18"/>
        </w:rPr>
      </w:pPr>
      <w:bookmarkStart w:id="251" w:name="_Toc470886952"/>
      <w:r>
        <w:rPr>
          <w:rFonts w:hint="eastAsia" w:asciiTheme="majorEastAsia" w:hAnsiTheme="majorEastAsia" w:eastAsiaTheme="majorEastAsia"/>
          <w:sz w:val="18"/>
          <w:szCs w:val="18"/>
        </w:rPr>
        <w:t>表6-</w:t>
      </w:r>
      <w:r>
        <w:rPr>
          <w:rFonts w:asciiTheme="majorEastAsia" w:hAnsiTheme="majorEastAsia" w:eastAsiaTheme="majorEastAsia"/>
          <w:sz w:val="18"/>
          <w:szCs w:val="18"/>
        </w:rPr>
        <w:fldChar w:fldCharType="begin"/>
      </w:r>
      <w:r>
        <w:rPr>
          <w:rFonts w:asciiTheme="majorEastAsia" w:hAnsiTheme="majorEastAsia" w:eastAsiaTheme="majorEastAsia"/>
          <w:sz w:val="18"/>
          <w:szCs w:val="18"/>
        </w:rPr>
        <w:instrText xml:space="preserve"> </w:instrText>
      </w:r>
      <w:r>
        <w:rPr>
          <w:rFonts w:hint="eastAsia" w:asciiTheme="majorEastAsia" w:hAnsiTheme="majorEastAsia" w:eastAsiaTheme="majorEastAsia"/>
          <w:sz w:val="18"/>
          <w:szCs w:val="18"/>
        </w:rPr>
        <w:instrText xml:space="preserve">SEQ 表6- \* ARABIC</w:instrText>
      </w:r>
      <w:r>
        <w:rPr>
          <w:rFonts w:asciiTheme="majorEastAsia" w:hAnsiTheme="majorEastAsia" w:eastAsiaTheme="majorEastAsia"/>
          <w:sz w:val="18"/>
          <w:szCs w:val="18"/>
        </w:rPr>
        <w:instrText xml:space="preserve"> </w:instrText>
      </w:r>
      <w:r>
        <w:rPr>
          <w:rFonts w:asciiTheme="majorEastAsia" w:hAnsiTheme="majorEastAsia" w:eastAsiaTheme="majorEastAsia"/>
          <w:sz w:val="18"/>
          <w:szCs w:val="18"/>
        </w:rPr>
        <w:fldChar w:fldCharType="separate"/>
      </w:r>
      <w:r>
        <w:rPr>
          <w:rFonts w:asciiTheme="majorEastAsia" w:hAnsiTheme="majorEastAsia" w:eastAsiaTheme="majorEastAsia"/>
          <w:sz w:val="18"/>
          <w:szCs w:val="18"/>
        </w:rPr>
        <w:t>1</w:t>
      </w:r>
      <w:r>
        <w:rPr>
          <w:rFonts w:asciiTheme="majorEastAsia" w:hAnsiTheme="majorEastAsia" w:eastAsiaTheme="majorEastAsia"/>
          <w:sz w:val="18"/>
          <w:szCs w:val="18"/>
        </w:rPr>
        <w:fldChar w:fldCharType="end"/>
      </w:r>
      <w:r>
        <w:rPr>
          <w:rFonts w:asciiTheme="majorEastAsia" w:hAnsiTheme="majorEastAsia" w:eastAsiaTheme="majorEastAsia"/>
          <w:sz w:val="18"/>
          <w:szCs w:val="18"/>
        </w:rPr>
        <w:t xml:space="preserve"> </w:t>
      </w:r>
      <w:r>
        <w:rPr>
          <w:rFonts w:hint="eastAsia" w:asciiTheme="majorEastAsia" w:hAnsiTheme="majorEastAsia" w:eastAsiaTheme="majorEastAsia"/>
          <w:sz w:val="18"/>
          <w:szCs w:val="18"/>
        </w:rPr>
        <w:t>毕业生对母校教学方面</w:t>
      </w:r>
      <w:r>
        <w:rPr>
          <w:rFonts w:asciiTheme="majorEastAsia" w:hAnsiTheme="majorEastAsia" w:eastAsiaTheme="majorEastAsia"/>
          <w:sz w:val="18"/>
          <w:szCs w:val="18"/>
        </w:rPr>
        <w:t>的满意度</w:t>
      </w:r>
      <w:bookmarkEnd w:id="251"/>
    </w:p>
    <w:tbl>
      <w:tblPr>
        <w:tblStyle w:val="50"/>
        <w:tblW w:w="8296" w:type="dxa"/>
        <w:tblInd w:w="0" w:type="dxa"/>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
      <w:tblGrid>
        <w:gridCol w:w="2864"/>
        <w:gridCol w:w="2995"/>
        <w:gridCol w:w="2437"/>
      </w:tblGrid>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864" w:type="dxa"/>
            <w:tcBorders>
              <w:top w:val="single" w:color="ED7D31" w:themeColor="accent2" w:sz="4" w:space="0"/>
              <w:left w:val="single" w:color="ED7D31" w:themeColor="accent2" w:sz="4" w:space="0"/>
              <w:bottom w:val="single" w:color="ED7D31" w:themeColor="accent2" w:sz="4" w:space="0"/>
              <w:right w:val="nil"/>
              <w:insideH w:val="single" w:sz="4" w:space="0"/>
              <w:insideV w:val="nil"/>
            </w:tcBorders>
            <w:shd w:val="clear" w:color="auto" w:fill="ED7D31" w:themeFill="accent2"/>
            <w:vAlign w:val="center"/>
          </w:tcPr>
          <w:p>
            <w:pPr>
              <w:widowControl/>
              <w:jc w:val="center"/>
              <w:rPr>
                <w:rFonts w:cs="宋体" w:asciiTheme="majorEastAsia" w:hAnsiTheme="majorEastAsia" w:eastAsiaTheme="majorEastAsia"/>
                <w:b/>
                <w:bCs/>
                <w:color w:val="FFFFFF" w:themeColor="background1"/>
                <w:kern w:val="0"/>
                <w:sz w:val="18"/>
                <w:szCs w:val="18"/>
                <w14:textFill>
                  <w14:solidFill>
                    <w14:schemeClr w14:val="bg1"/>
                  </w14:solidFill>
                </w14:textFill>
              </w:rPr>
            </w:pPr>
            <w:r>
              <w:rPr>
                <w:rFonts w:hint="eastAsia" w:cs="宋体" w:asciiTheme="majorEastAsia" w:hAnsiTheme="majorEastAsia" w:eastAsiaTheme="majorEastAsia"/>
                <w:b/>
                <w:bCs/>
                <w:color w:val="FFFFFF" w:themeColor="background1"/>
                <w:kern w:val="0"/>
                <w:sz w:val="18"/>
                <w:szCs w:val="18"/>
                <w14:textFill>
                  <w14:solidFill>
                    <w14:schemeClr w14:val="bg1"/>
                  </w14:solidFill>
                </w14:textFill>
              </w:rPr>
              <w:t>指</w:t>
            </w:r>
            <w:r>
              <w:rPr>
                <w:rFonts w:hint="eastAsia" w:cs="微软雅黑" w:asciiTheme="majorEastAsia" w:hAnsiTheme="majorEastAsia" w:eastAsiaTheme="majorEastAsia"/>
                <w:b/>
                <w:bCs/>
                <w:color w:val="FFFFFF" w:themeColor="background1"/>
                <w:kern w:val="0"/>
                <w:sz w:val="18"/>
                <w:szCs w:val="18"/>
                <w14:textFill>
                  <w14:solidFill>
                    <w14:schemeClr w14:val="bg1"/>
                  </w14:solidFill>
                </w14:textFill>
              </w:rPr>
              <w:t>标</w:t>
            </w:r>
          </w:p>
        </w:tc>
        <w:tc>
          <w:tcPr>
            <w:tcW w:w="2995" w:type="dxa"/>
            <w:tcBorders>
              <w:top w:val="single" w:color="ED7D31" w:themeColor="accent2" w:sz="4" w:space="0"/>
              <w:bottom w:val="single" w:color="ED7D31" w:themeColor="accent2" w:sz="4" w:space="0"/>
              <w:right w:val="nil"/>
              <w:insideH w:val="single" w:sz="4" w:space="0"/>
              <w:insideV w:val="nil"/>
            </w:tcBorders>
            <w:shd w:val="clear" w:color="auto" w:fill="ED7D31" w:themeFill="accent2"/>
            <w:vAlign w:val="center"/>
          </w:tcPr>
          <w:p>
            <w:pPr>
              <w:widowControl/>
              <w:jc w:val="center"/>
              <w:rPr>
                <w:rFonts w:cs="宋体" w:asciiTheme="majorEastAsia" w:hAnsiTheme="majorEastAsia" w:eastAsiaTheme="majorEastAsia"/>
                <w:b/>
                <w:bCs/>
                <w:color w:val="FFFFFF" w:themeColor="background1"/>
                <w:kern w:val="0"/>
                <w:sz w:val="18"/>
                <w:szCs w:val="18"/>
                <w14:textFill>
                  <w14:solidFill>
                    <w14:schemeClr w14:val="bg1"/>
                  </w14:solidFill>
                </w14:textFill>
              </w:rPr>
            </w:pPr>
            <w:r>
              <w:rPr>
                <w:rFonts w:hint="eastAsia" w:cs="微软雅黑" w:asciiTheme="majorEastAsia" w:hAnsiTheme="majorEastAsia" w:eastAsiaTheme="majorEastAsia"/>
                <w:b/>
                <w:bCs/>
                <w:color w:val="FFFFFF" w:themeColor="background1"/>
                <w:kern w:val="0"/>
                <w:sz w:val="18"/>
                <w:szCs w:val="18"/>
                <w14:textFill>
                  <w14:solidFill>
                    <w14:schemeClr w14:val="bg1"/>
                  </w14:solidFill>
                </w14:textFill>
              </w:rPr>
              <w:t>满</w:t>
            </w:r>
            <w:r>
              <w:rPr>
                <w:rFonts w:hint="eastAsia" w:cs="MS Mincho" w:asciiTheme="majorEastAsia" w:hAnsiTheme="majorEastAsia" w:eastAsiaTheme="majorEastAsia"/>
                <w:b/>
                <w:bCs/>
                <w:color w:val="FFFFFF" w:themeColor="background1"/>
                <w:kern w:val="0"/>
                <w:sz w:val="18"/>
                <w:szCs w:val="18"/>
                <w14:textFill>
                  <w14:solidFill>
                    <w14:schemeClr w14:val="bg1"/>
                  </w14:solidFill>
                </w14:textFill>
              </w:rPr>
              <w:t>意度</w:t>
            </w:r>
          </w:p>
        </w:tc>
        <w:tc>
          <w:tcPr>
            <w:tcW w:w="2437" w:type="dxa"/>
            <w:tcBorders>
              <w:top w:val="single" w:color="ED7D31" w:themeColor="accent2" w:sz="4" w:space="0"/>
              <w:bottom w:val="single" w:color="ED7D31" w:themeColor="accent2" w:sz="4" w:space="0"/>
              <w:right w:val="single" w:color="ED7D31" w:themeColor="accent2" w:sz="4" w:space="0"/>
              <w:insideH w:val="single" w:sz="4" w:space="0"/>
              <w:insideV w:val="nil"/>
            </w:tcBorders>
            <w:shd w:val="clear" w:color="auto" w:fill="ED7D31" w:themeFill="accent2"/>
            <w:vAlign w:val="center"/>
          </w:tcPr>
          <w:p>
            <w:pPr>
              <w:widowControl/>
              <w:jc w:val="center"/>
              <w:rPr>
                <w:rFonts w:cs="宋体" w:asciiTheme="majorEastAsia" w:hAnsiTheme="majorEastAsia" w:eastAsiaTheme="majorEastAsia"/>
                <w:b/>
                <w:bCs/>
                <w:color w:val="FFFFFF" w:themeColor="background1"/>
                <w:kern w:val="0"/>
                <w:sz w:val="18"/>
                <w:szCs w:val="18"/>
                <w14:textFill>
                  <w14:solidFill>
                    <w14:schemeClr w14:val="bg1"/>
                  </w14:solidFill>
                </w14:textFill>
              </w:rPr>
            </w:pPr>
            <w:r>
              <w:rPr>
                <w:rFonts w:hint="eastAsia" w:cs="宋体" w:asciiTheme="majorEastAsia" w:hAnsiTheme="majorEastAsia" w:eastAsiaTheme="majorEastAsia"/>
                <w:b/>
                <w:bCs/>
                <w:color w:val="FFFFFF" w:themeColor="background1"/>
                <w:kern w:val="0"/>
                <w:sz w:val="18"/>
                <w:szCs w:val="18"/>
                <w14:textFill>
                  <w14:solidFill>
                    <w14:schemeClr w14:val="bg1"/>
                  </w14:solidFill>
                </w14:textFill>
              </w:rPr>
              <w:t>平均得分</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864" w:type="dxa"/>
            <w:shd w:val="clear" w:color="auto" w:fill="FBE4D5" w:themeFill="accent2" w:themeFillTint="33"/>
            <w:vAlign w:val="center"/>
          </w:tcPr>
          <w:p>
            <w:pPr>
              <w:widowControl/>
              <w:jc w:val="center"/>
              <w:rPr>
                <w:rFonts w:cs="宋体" w:asciiTheme="majorEastAsia" w:hAnsiTheme="majorEastAsia" w:eastAsiaTheme="majorEastAsia"/>
                <w:b w:val="0"/>
                <w:bCs/>
                <w:color w:val="000000"/>
                <w:kern w:val="0"/>
                <w:sz w:val="18"/>
                <w:szCs w:val="18"/>
              </w:rPr>
            </w:pPr>
            <w:r>
              <w:rPr>
                <w:rFonts w:hint="eastAsia" w:cs="宋体" w:asciiTheme="majorEastAsia" w:hAnsiTheme="majorEastAsia" w:eastAsiaTheme="majorEastAsia"/>
                <w:b w:val="0"/>
                <w:bCs/>
                <w:color w:val="000000"/>
                <w:kern w:val="0"/>
                <w:sz w:val="18"/>
                <w:szCs w:val="18"/>
              </w:rPr>
              <w:t>老</w:t>
            </w:r>
            <w:r>
              <w:rPr>
                <w:rFonts w:hint="eastAsia" w:cs="微软雅黑" w:asciiTheme="majorEastAsia" w:hAnsiTheme="majorEastAsia" w:eastAsiaTheme="majorEastAsia"/>
                <w:b w:val="0"/>
                <w:bCs/>
                <w:color w:val="000000"/>
                <w:kern w:val="0"/>
                <w:sz w:val="18"/>
                <w:szCs w:val="18"/>
              </w:rPr>
              <w:t>师</w:t>
            </w:r>
            <w:r>
              <w:rPr>
                <w:rFonts w:hint="eastAsia" w:cs="MS Mincho" w:asciiTheme="majorEastAsia" w:hAnsiTheme="majorEastAsia" w:eastAsiaTheme="majorEastAsia"/>
                <w:b w:val="0"/>
                <w:bCs/>
                <w:color w:val="000000"/>
                <w:kern w:val="0"/>
                <w:sz w:val="18"/>
                <w:szCs w:val="18"/>
              </w:rPr>
              <w:t>授</w:t>
            </w:r>
            <w:r>
              <w:rPr>
                <w:rFonts w:hint="eastAsia" w:cs="微软雅黑" w:asciiTheme="majorEastAsia" w:hAnsiTheme="majorEastAsia" w:eastAsiaTheme="majorEastAsia"/>
                <w:b w:val="0"/>
                <w:bCs/>
                <w:color w:val="000000"/>
                <w:kern w:val="0"/>
                <w:sz w:val="18"/>
                <w:szCs w:val="18"/>
              </w:rPr>
              <w:t>课</w:t>
            </w:r>
          </w:p>
        </w:tc>
        <w:tc>
          <w:tcPr>
            <w:tcW w:w="2995" w:type="dxa"/>
            <w:shd w:val="clear" w:color="auto" w:fill="FBE4D5" w:themeFill="accent2" w:themeFillTint="33"/>
            <w:vAlign w:val="center"/>
          </w:tcPr>
          <w:p>
            <w:pPr>
              <w:widowControl/>
              <w:jc w:val="center"/>
              <w:rPr>
                <w:rFonts w:cs="宋体" w:asciiTheme="majorEastAsia" w:hAnsiTheme="majorEastAsia" w:eastAsiaTheme="majorEastAsia"/>
                <w:color w:val="000000"/>
                <w:kern w:val="0"/>
                <w:sz w:val="18"/>
                <w:szCs w:val="18"/>
              </w:rPr>
            </w:pPr>
            <w:r>
              <w:rPr>
                <w:rFonts w:hint="eastAsia" w:cs="宋体" w:asciiTheme="majorEastAsia" w:hAnsiTheme="majorEastAsia" w:eastAsiaTheme="majorEastAsia"/>
                <w:color w:val="000000"/>
                <w:kern w:val="0"/>
                <w:sz w:val="18"/>
                <w:szCs w:val="18"/>
              </w:rPr>
              <w:t>92.89%</w:t>
            </w:r>
          </w:p>
        </w:tc>
        <w:tc>
          <w:tcPr>
            <w:tcW w:w="2437" w:type="dxa"/>
            <w:shd w:val="clear" w:color="auto" w:fill="FBE4D5" w:themeFill="accent2" w:themeFillTint="33"/>
            <w:vAlign w:val="center"/>
          </w:tcPr>
          <w:p>
            <w:pPr>
              <w:widowControl/>
              <w:jc w:val="center"/>
              <w:rPr>
                <w:rFonts w:cs="宋体" w:asciiTheme="majorEastAsia" w:hAnsiTheme="majorEastAsia" w:eastAsiaTheme="majorEastAsia"/>
                <w:color w:val="000000"/>
                <w:kern w:val="0"/>
                <w:sz w:val="18"/>
                <w:szCs w:val="18"/>
              </w:rPr>
            </w:pPr>
            <w:r>
              <w:rPr>
                <w:rFonts w:hint="eastAsia" w:cs="宋体" w:asciiTheme="majorEastAsia" w:hAnsiTheme="majorEastAsia" w:eastAsiaTheme="majorEastAsia"/>
                <w:color w:val="000000"/>
                <w:kern w:val="0"/>
                <w:sz w:val="18"/>
                <w:szCs w:val="18"/>
              </w:rPr>
              <w:t>3.72</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864" w:type="dxa"/>
            <w:vAlign w:val="center"/>
          </w:tcPr>
          <w:p>
            <w:pPr>
              <w:widowControl/>
              <w:jc w:val="center"/>
              <w:rPr>
                <w:rFonts w:cs="宋体" w:asciiTheme="majorEastAsia" w:hAnsiTheme="majorEastAsia" w:eastAsiaTheme="majorEastAsia"/>
                <w:b w:val="0"/>
                <w:bCs/>
                <w:color w:val="000000"/>
                <w:kern w:val="0"/>
                <w:sz w:val="18"/>
                <w:szCs w:val="18"/>
              </w:rPr>
            </w:pPr>
            <w:r>
              <w:rPr>
                <w:rFonts w:hint="eastAsia" w:cs="微软雅黑" w:asciiTheme="majorEastAsia" w:hAnsiTheme="majorEastAsia" w:eastAsiaTheme="majorEastAsia"/>
                <w:b w:val="0"/>
                <w:bCs/>
                <w:color w:val="000000"/>
                <w:kern w:val="0"/>
                <w:sz w:val="18"/>
                <w:szCs w:val="18"/>
              </w:rPr>
              <w:t>实</w:t>
            </w:r>
            <w:r>
              <w:rPr>
                <w:rFonts w:hint="eastAsia" w:cs="MS Mincho" w:asciiTheme="majorEastAsia" w:hAnsiTheme="majorEastAsia" w:eastAsiaTheme="majorEastAsia"/>
                <w:b w:val="0"/>
                <w:bCs/>
                <w:color w:val="000000"/>
                <w:kern w:val="0"/>
                <w:sz w:val="18"/>
                <w:szCs w:val="18"/>
              </w:rPr>
              <w:t>践教学</w:t>
            </w:r>
          </w:p>
        </w:tc>
        <w:tc>
          <w:tcPr>
            <w:tcW w:w="2995" w:type="dxa"/>
            <w:vAlign w:val="center"/>
          </w:tcPr>
          <w:p>
            <w:pPr>
              <w:widowControl/>
              <w:jc w:val="center"/>
              <w:rPr>
                <w:rFonts w:cs="宋体" w:asciiTheme="majorEastAsia" w:hAnsiTheme="majorEastAsia" w:eastAsiaTheme="majorEastAsia"/>
                <w:color w:val="000000"/>
                <w:kern w:val="0"/>
                <w:sz w:val="18"/>
                <w:szCs w:val="18"/>
              </w:rPr>
            </w:pPr>
            <w:r>
              <w:rPr>
                <w:rFonts w:hint="eastAsia" w:cs="宋体" w:asciiTheme="majorEastAsia" w:hAnsiTheme="majorEastAsia" w:eastAsiaTheme="majorEastAsia"/>
                <w:color w:val="000000"/>
                <w:kern w:val="0"/>
                <w:sz w:val="18"/>
                <w:szCs w:val="18"/>
              </w:rPr>
              <w:t>81.50%</w:t>
            </w:r>
          </w:p>
        </w:tc>
        <w:tc>
          <w:tcPr>
            <w:tcW w:w="2437" w:type="dxa"/>
            <w:vAlign w:val="center"/>
          </w:tcPr>
          <w:p>
            <w:pPr>
              <w:widowControl/>
              <w:jc w:val="center"/>
              <w:rPr>
                <w:rFonts w:cs="宋体" w:asciiTheme="majorEastAsia" w:hAnsiTheme="majorEastAsia" w:eastAsiaTheme="majorEastAsia"/>
                <w:color w:val="000000"/>
                <w:kern w:val="0"/>
                <w:sz w:val="18"/>
                <w:szCs w:val="18"/>
              </w:rPr>
            </w:pPr>
            <w:r>
              <w:rPr>
                <w:rFonts w:hint="eastAsia" w:cs="宋体" w:asciiTheme="majorEastAsia" w:hAnsiTheme="majorEastAsia" w:eastAsiaTheme="majorEastAsia"/>
                <w:color w:val="000000"/>
                <w:kern w:val="0"/>
                <w:sz w:val="18"/>
                <w:szCs w:val="18"/>
              </w:rPr>
              <w:t>3.47</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864" w:type="dxa"/>
            <w:shd w:val="clear" w:color="auto" w:fill="FBE4D5" w:themeFill="accent2" w:themeFillTint="33"/>
            <w:vAlign w:val="center"/>
          </w:tcPr>
          <w:p>
            <w:pPr>
              <w:widowControl/>
              <w:jc w:val="center"/>
              <w:rPr>
                <w:rFonts w:cs="宋体" w:asciiTheme="majorEastAsia" w:hAnsiTheme="majorEastAsia" w:eastAsiaTheme="majorEastAsia"/>
                <w:b w:val="0"/>
                <w:bCs/>
                <w:color w:val="000000"/>
                <w:kern w:val="0"/>
                <w:sz w:val="18"/>
                <w:szCs w:val="18"/>
              </w:rPr>
            </w:pPr>
            <w:r>
              <w:rPr>
                <w:rFonts w:hint="eastAsia" w:cs="微软雅黑" w:asciiTheme="majorEastAsia" w:hAnsiTheme="majorEastAsia" w:eastAsiaTheme="majorEastAsia"/>
                <w:b w:val="0"/>
                <w:bCs/>
                <w:color w:val="000000"/>
                <w:kern w:val="0"/>
                <w:sz w:val="18"/>
                <w:szCs w:val="18"/>
              </w:rPr>
              <w:t>课</w:t>
            </w:r>
            <w:r>
              <w:rPr>
                <w:rFonts w:hint="eastAsia" w:cs="MS Mincho" w:asciiTheme="majorEastAsia" w:hAnsiTheme="majorEastAsia" w:eastAsiaTheme="majorEastAsia"/>
                <w:b w:val="0"/>
                <w:bCs/>
                <w:color w:val="000000"/>
                <w:kern w:val="0"/>
                <w:sz w:val="18"/>
                <w:szCs w:val="18"/>
              </w:rPr>
              <w:t>程</w:t>
            </w:r>
            <w:r>
              <w:rPr>
                <w:rFonts w:hint="eastAsia" w:cs="微软雅黑" w:asciiTheme="majorEastAsia" w:hAnsiTheme="majorEastAsia" w:eastAsiaTheme="majorEastAsia"/>
                <w:b w:val="0"/>
                <w:bCs/>
                <w:color w:val="000000"/>
                <w:kern w:val="0"/>
                <w:sz w:val="18"/>
                <w:szCs w:val="18"/>
              </w:rPr>
              <w:t>设</w:t>
            </w:r>
            <w:r>
              <w:rPr>
                <w:rFonts w:hint="eastAsia" w:cs="MS Mincho" w:asciiTheme="majorEastAsia" w:hAnsiTheme="majorEastAsia" w:eastAsiaTheme="majorEastAsia"/>
                <w:b w:val="0"/>
                <w:bCs/>
                <w:color w:val="000000"/>
                <w:kern w:val="0"/>
                <w:sz w:val="18"/>
                <w:szCs w:val="18"/>
              </w:rPr>
              <w:t>置</w:t>
            </w:r>
          </w:p>
        </w:tc>
        <w:tc>
          <w:tcPr>
            <w:tcW w:w="2995" w:type="dxa"/>
            <w:shd w:val="clear" w:color="auto" w:fill="FBE4D5" w:themeFill="accent2" w:themeFillTint="33"/>
            <w:vAlign w:val="center"/>
          </w:tcPr>
          <w:p>
            <w:pPr>
              <w:widowControl/>
              <w:jc w:val="center"/>
              <w:rPr>
                <w:rFonts w:cs="宋体" w:asciiTheme="majorEastAsia" w:hAnsiTheme="majorEastAsia" w:eastAsiaTheme="majorEastAsia"/>
                <w:color w:val="000000"/>
                <w:kern w:val="0"/>
                <w:sz w:val="18"/>
                <w:szCs w:val="18"/>
              </w:rPr>
            </w:pPr>
            <w:r>
              <w:rPr>
                <w:rFonts w:hint="eastAsia" w:cs="宋体" w:asciiTheme="majorEastAsia" w:hAnsiTheme="majorEastAsia" w:eastAsiaTheme="majorEastAsia"/>
                <w:color w:val="000000"/>
                <w:kern w:val="0"/>
                <w:sz w:val="18"/>
                <w:szCs w:val="18"/>
              </w:rPr>
              <w:t>86.90%</w:t>
            </w:r>
          </w:p>
        </w:tc>
        <w:tc>
          <w:tcPr>
            <w:tcW w:w="2437" w:type="dxa"/>
            <w:shd w:val="clear" w:color="auto" w:fill="FBE4D5" w:themeFill="accent2" w:themeFillTint="33"/>
            <w:vAlign w:val="center"/>
          </w:tcPr>
          <w:p>
            <w:pPr>
              <w:widowControl/>
              <w:jc w:val="center"/>
              <w:rPr>
                <w:rFonts w:cs="宋体" w:asciiTheme="majorEastAsia" w:hAnsiTheme="majorEastAsia" w:eastAsiaTheme="majorEastAsia"/>
                <w:color w:val="000000"/>
                <w:kern w:val="0"/>
                <w:sz w:val="18"/>
                <w:szCs w:val="18"/>
              </w:rPr>
            </w:pPr>
            <w:r>
              <w:rPr>
                <w:rFonts w:hint="eastAsia" w:cs="宋体" w:asciiTheme="majorEastAsia" w:hAnsiTheme="majorEastAsia" w:eastAsiaTheme="majorEastAsia"/>
                <w:color w:val="000000"/>
                <w:kern w:val="0"/>
                <w:sz w:val="18"/>
                <w:szCs w:val="18"/>
              </w:rPr>
              <w:t>3.53</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864" w:type="dxa"/>
            <w:vAlign w:val="center"/>
          </w:tcPr>
          <w:p>
            <w:pPr>
              <w:widowControl/>
              <w:jc w:val="center"/>
              <w:rPr>
                <w:rFonts w:cs="宋体" w:asciiTheme="majorEastAsia" w:hAnsiTheme="majorEastAsia" w:eastAsiaTheme="majorEastAsia"/>
                <w:b w:val="0"/>
                <w:bCs/>
                <w:color w:val="000000"/>
                <w:kern w:val="0"/>
                <w:sz w:val="18"/>
                <w:szCs w:val="18"/>
              </w:rPr>
            </w:pPr>
            <w:r>
              <w:rPr>
                <w:rFonts w:hint="eastAsia" w:cs="微软雅黑" w:asciiTheme="majorEastAsia" w:hAnsiTheme="majorEastAsia" w:eastAsiaTheme="majorEastAsia"/>
                <w:b w:val="0"/>
                <w:bCs/>
                <w:color w:val="000000"/>
                <w:kern w:val="0"/>
                <w:sz w:val="18"/>
                <w:szCs w:val="18"/>
              </w:rPr>
              <w:t>专业设</w:t>
            </w:r>
            <w:r>
              <w:rPr>
                <w:rFonts w:hint="eastAsia" w:cs="MS Mincho" w:asciiTheme="majorEastAsia" w:hAnsiTheme="majorEastAsia" w:eastAsiaTheme="majorEastAsia"/>
                <w:b w:val="0"/>
                <w:bCs/>
                <w:color w:val="000000"/>
                <w:kern w:val="0"/>
                <w:sz w:val="18"/>
                <w:szCs w:val="18"/>
              </w:rPr>
              <w:t>置</w:t>
            </w:r>
          </w:p>
        </w:tc>
        <w:tc>
          <w:tcPr>
            <w:tcW w:w="2995" w:type="dxa"/>
            <w:vAlign w:val="center"/>
          </w:tcPr>
          <w:p>
            <w:pPr>
              <w:widowControl/>
              <w:jc w:val="center"/>
              <w:rPr>
                <w:rFonts w:cs="宋体" w:asciiTheme="majorEastAsia" w:hAnsiTheme="majorEastAsia" w:eastAsiaTheme="majorEastAsia"/>
                <w:color w:val="000000"/>
                <w:kern w:val="0"/>
                <w:sz w:val="18"/>
                <w:szCs w:val="18"/>
              </w:rPr>
            </w:pPr>
            <w:r>
              <w:rPr>
                <w:rFonts w:hint="eastAsia" w:cs="宋体" w:asciiTheme="majorEastAsia" w:hAnsiTheme="majorEastAsia" w:eastAsiaTheme="majorEastAsia"/>
                <w:color w:val="000000"/>
                <w:kern w:val="0"/>
                <w:sz w:val="18"/>
                <w:szCs w:val="18"/>
              </w:rPr>
              <w:t>89.74%</w:t>
            </w:r>
          </w:p>
        </w:tc>
        <w:tc>
          <w:tcPr>
            <w:tcW w:w="2437" w:type="dxa"/>
            <w:vAlign w:val="center"/>
          </w:tcPr>
          <w:p>
            <w:pPr>
              <w:widowControl/>
              <w:jc w:val="center"/>
              <w:rPr>
                <w:rFonts w:cs="宋体" w:asciiTheme="majorEastAsia" w:hAnsiTheme="majorEastAsia" w:eastAsiaTheme="majorEastAsia"/>
                <w:color w:val="000000"/>
                <w:kern w:val="0"/>
                <w:sz w:val="18"/>
                <w:szCs w:val="18"/>
              </w:rPr>
            </w:pPr>
            <w:r>
              <w:rPr>
                <w:rFonts w:hint="eastAsia" w:cs="宋体" w:asciiTheme="majorEastAsia" w:hAnsiTheme="majorEastAsia" w:eastAsiaTheme="majorEastAsia"/>
                <w:color w:val="000000"/>
                <w:kern w:val="0"/>
                <w:sz w:val="18"/>
                <w:szCs w:val="18"/>
              </w:rPr>
              <w:t>3.62</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2864" w:type="dxa"/>
            <w:shd w:val="clear" w:color="auto" w:fill="FBE4D5" w:themeFill="accent2" w:themeFillTint="33"/>
            <w:vAlign w:val="center"/>
          </w:tcPr>
          <w:p>
            <w:pPr>
              <w:widowControl/>
              <w:jc w:val="center"/>
              <w:rPr>
                <w:rFonts w:cs="宋体" w:asciiTheme="majorEastAsia" w:hAnsiTheme="majorEastAsia" w:eastAsiaTheme="majorEastAsia"/>
                <w:b w:val="0"/>
                <w:bCs/>
                <w:color w:val="000000"/>
                <w:kern w:val="0"/>
                <w:sz w:val="18"/>
                <w:szCs w:val="18"/>
              </w:rPr>
            </w:pPr>
            <w:r>
              <w:rPr>
                <w:rFonts w:hint="eastAsia" w:cs="微软雅黑" w:asciiTheme="majorEastAsia" w:hAnsiTheme="majorEastAsia" w:eastAsiaTheme="majorEastAsia"/>
                <w:b w:val="0"/>
                <w:bCs/>
                <w:color w:val="000000"/>
                <w:kern w:val="0"/>
                <w:sz w:val="18"/>
                <w:szCs w:val="18"/>
              </w:rPr>
              <w:t>总</w:t>
            </w:r>
            <w:r>
              <w:rPr>
                <w:rFonts w:hint="eastAsia" w:cs="MS Mincho" w:asciiTheme="majorEastAsia" w:hAnsiTheme="majorEastAsia" w:eastAsiaTheme="majorEastAsia"/>
                <w:b w:val="0"/>
                <w:bCs/>
                <w:color w:val="000000"/>
                <w:kern w:val="0"/>
                <w:sz w:val="18"/>
                <w:szCs w:val="18"/>
              </w:rPr>
              <w:t>体人才培养</w:t>
            </w:r>
          </w:p>
        </w:tc>
        <w:tc>
          <w:tcPr>
            <w:tcW w:w="2995" w:type="dxa"/>
            <w:shd w:val="clear" w:color="auto" w:fill="FBE4D5" w:themeFill="accent2" w:themeFillTint="33"/>
            <w:vAlign w:val="center"/>
          </w:tcPr>
          <w:p>
            <w:pPr>
              <w:widowControl/>
              <w:jc w:val="center"/>
              <w:rPr>
                <w:rFonts w:cs="宋体" w:asciiTheme="majorEastAsia" w:hAnsiTheme="majorEastAsia" w:eastAsiaTheme="majorEastAsia"/>
                <w:color w:val="000000"/>
                <w:kern w:val="0"/>
                <w:sz w:val="18"/>
                <w:szCs w:val="18"/>
              </w:rPr>
            </w:pPr>
            <w:r>
              <w:rPr>
                <w:rFonts w:hint="eastAsia" w:cs="宋体" w:asciiTheme="majorEastAsia" w:hAnsiTheme="majorEastAsia" w:eastAsiaTheme="majorEastAsia"/>
                <w:color w:val="000000"/>
                <w:kern w:val="0"/>
                <w:sz w:val="18"/>
                <w:szCs w:val="18"/>
              </w:rPr>
              <w:t>89.65%</w:t>
            </w:r>
          </w:p>
        </w:tc>
        <w:tc>
          <w:tcPr>
            <w:tcW w:w="2437" w:type="dxa"/>
            <w:shd w:val="clear" w:color="auto" w:fill="FBE4D5" w:themeFill="accent2" w:themeFillTint="33"/>
            <w:vAlign w:val="center"/>
          </w:tcPr>
          <w:p>
            <w:pPr>
              <w:widowControl/>
              <w:jc w:val="center"/>
              <w:rPr>
                <w:rFonts w:cs="宋体" w:asciiTheme="majorEastAsia" w:hAnsiTheme="majorEastAsia" w:eastAsiaTheme="majorEastAsia"/>
                <w:color w:val="000000"/>
                <w:kern w:val="0"/>
                <w:sz w:val="18"/>
                <w:szCs w:val="18"/>
              </w:rPr>
            </w:pPr>
            <w:r>
              <w:rPr>
                <w:rFonts w:hint="eastAsia" w:cs="宋体" w:asciiTheme="majorEastAsia" w:hAnsiTheme="majorEastAsia" w:eastAsiaTheme="majorEastAsia"/>
                <w:color w:val="000000"/>
                <w:kern w:val="0"/>
                <w:sz w:val="18"/>
                <w:szCs w:val="18"/>
              </w:rPr>
              <w:t>3.60</w:t>
            </w:r>
          </w:p>
        </w:tc>
      </w:tr>
    </w:tbl>
    <w:p/>
    <w:p>
      <w:pPr>
        <w:pStyle w:val="33"/>
      </w:pPr>
      <w:bookmarkStart w:id="252" w:name="_Toc469038401"/>
      <w:r>
        <w:t>2.</w:t>
      </w:r>
      <w:r>
        <w:rPr>
          <w:rFonts w:hint="eastAsia"/>
        </w:rPr>
        <w:t>分专业</w:t>
      </w:r>
      <w:r>
        <w:t>毕业</w:t>
      </w:r>
      <w:r>
        <w:rPr>
          <w:rFonts w:hint="eastAsia"/>
        </w:rPr>
        <w:t>生</w:t>
      </w:r>
      <w:r>
        <w:t>对母校教学</w:t>
      </w:r>
      <w:r>
        <w:rPr>
          <w:rFonts w:hint="eastAsia"/>
        </w:rPr>
        <w:t>方面</w:t>
      </w:r>
      <w:r>
        <w:t>的满意度</w:t>
      </w:r>
      <w:bookmarkEnd w:id="252"/>
    </w:p>
    <w:p>
      <w:pPr>
        <w:pStyle w:val="40"/>
      </w:pPr>
      <w:r>
        <w:rPr>
          <w:rFonts w:hint="eastAsia"/>
        </w:rPr>
        <w:t>分专业测评</w:t>
      </w:r>
      <w:r>
        <w:t>毕业生对母校</w:t>
      </w:r>
      <w:r>
        <w:rPr>
          <w:rFonts w:hint="eastAsia"/>
        </w:rPr>
        <w:t>教学</w:t>
      </w:r>
      <w:r>
        <w:t>方面的</w:t>
      </w:r>
      <w:r>
        <w:rPr>
          <w:rFonts w:hint="eastAsia"/>
        </w:rPr>
        <w:t>满意度</w:t>
      </w:r>
      <w:r>
        <w:t>，</w:t>
      </w:r>
      <w:r>
        <w:rPr>
          <w:rFonts w:hint="eastAsia"/>
        </w:rPr>
        <w:t>总体</w:t>
      </w:r>
      <w:r>
        <w:t>人才培养满意度</w:t>
      </w:r>
      <w:r>
        <w:rPr>
          <w:rFonts w:hint="eastAsia"/>
        </w:rPr>
        <w:t>较高</w:t>
      </w:r>
      <w:r>
        <w:t>的专业为：财政学</w:t>
      </w:r>
      <w:r>
        <w:rPr>
          <w:rFonts w:hint="eastAsia"/>
        </w:rPr>
        <w:t>（97.62</w:t>
      </w:r>
      <w:r>
        <w:t>%</w:t>
      </w:r>
      <w:r>
        <w:rPr>
          <w:rFonts w:hint="eastAsia"/>
        </w:rPr>
        <w:t>）</w:t>
      </w:r>
      <w:r>
        <w:t>、汉语言文学</w:t>
      </w:r>
      <w:r>
        <w:rPr>
          <w:rFonts w:hint="eastAsia"/>
        </w:rPr>
        <w:t>（97.56</w:t>
      </w:r>
      <w:r>
        <w:t>%</w:t>
      </w:r>
      <w:r>
        <w:rPr>
          <w:rFonts w:hint="eastAsia"/>
        </w:rPr>
        <w:t>）</w:t>
      </w:r>
      <w:r>
        <w:t>、工商管理</w:t>
      </w:r>
      <w:r>
        <w:rPr>
          <w:rFonts w:hint="eastAsia"/>
        </w:rPr>
        <w:t>（97.22</w:t>
      </w:r>
      <w:r>
        <w:t>%</w:t>
      </w:r>
      <w:r>
        <w:rPr>
          <w:rFonts w:hint="eastAsia"/>
        </w:rPr>
        <w:t>）；</w:t>
      </w:r>
      <w:r>
        <w:t>老师授课满意度较高的专业为：</w:t>
      </w:r>
      <w:r>
        <w:rPr>
          <w:rFonts w:hint="eastAsia"/>
        </w:rPr>
        <w:t>汉语言</w:t>
      </w:r>
      <w:r>
        <w:t>文学</w:t>
      </w:r>
      <w:r>
        <w:rPr>
          <w:rFonts w:hint="eastAsia"/>
        </w:rPr>
        <w:t>、会计、</w:t>
      </w:r>
      <w:r>
        <w:t>广告学</w:t>
      </w:r>
      <w:r>
        <w:rPr>
          <w:rFonts w:hint="eastAsia"/>
        </w:rPr>
        <w:t>、电子</w:t>
      </w:r>
      <w:r>
        <w:t>商务、</w:t>
      </w:r>
      <w:r>
        <w:rPr>
          <w:rFonts w:hint="eastAsia"/>
        </w:rPr>
        <w:t>数学</w:t>
      </w:r>
      <w:r>
        <w:t>与应用数学，满意度都为</w:t>
      </w:r>
      <w:r>
        <w:rPr>
          <w:rFonts w:hint="eastAsia"/>
        </w:rPr>
        <w:t>100</w:t>
      </w:r>
      <w:r>
        <w:t>%；实践教学满意度较高的专业：</w:t>
      </w:r>
      <w:r>
        <w:rPr>
          <w:rFonts w:hint="eastAsia"/>
        </w:rPr>
        <w:t>动画</w:t>
      </w:r>
      <w:r>
        <w:t>（</w:t>
      </w:r>
      <w:r>
        <w:rPr>
          <w:rFonts w:hint="eastAsia"/>
        </w:rPr>
        <w:t>100</w:t>
      </w:r>
      <w:r>
        <w:t>%）</w:t>
      </w:r>
      <w:r>
        <w:rPr>
          <w:rFonts w:hint="eastAsia"/>
        </w:rPr>
        <w:t>、经济</w:t>
      </w:r>
      <w:r>
        <w:t>学（</w:t>
      </w:r>
      <w:r>
        <w:rPr>
          <w:rFonts w:hint="eastAsia"/>
        </w:rPr>
        <w:t>95.65</w:t>
      </w:r>
      <w:r>
        <w:t>%）</w:t>
      </w:r>
      <w:r>
        <w:rPr>
          <w:rFonts w:hint="eastAsia"/>
        </w:rPr>
        <w:t>、数学</w:t>
      </w:r>
      <w:r>
        <w:t>与应用数学（</w:t>
      </w:r>
      <w:r>
        <w:rPr>
          <w:rFonts w:hint="eastAsia"/>
        </w:rPr>
        <w:t>93.75</w:t>
      </w:r>
      <w:r>
        <w:t>%）</w:t>
      </w:r>
      <w:r>
        <w:rPr>
          <w:rFonts w:hint="eastAsia"/>
        </w:rPr>
        <w:t>；</w:t>
      </w:r>
      <w:r>
        <w:t>课程设置满意度较高的专业为：经济学（</w:t>
      </w:r>
      <w:r>
        <w:rPr>
          <w:rFonts w:hint="eastAsia"/>
        </w:rPr>
        <w:t>100</w:t>
      </w:r>
      <w:r>
        <w:t>%）</w:t>
      </w:r>
      <w:r>
        <w:rPr>
          <w:rFonts w:hint="eastAsia"/>
        </w:rPr>
        <w:t>、财政学</w:t>
      </w:r>
      <w:r>
        <w:t>（</w:t>
      </w:r>
      <w:r>
        <w:rPr>
          <w:rFonts w:hint="eastAsia"/>
        </w:rPr>
        <w:t>95.24</w:t>
      </w:r>
      <w:r>
        <w:t>%）</w:t>
      </w:r>
      <w:r>
        <w:rPr>
          <w:rFonts w:hint="eastAsia"/>
        </w:rPr>
        <w:t>、会计</w:t>
      </w:r>
      <w:r>
        <w:t>（</w:t>
      </w:r>
      <w:r>
        <w:rPr>
          <w:rFonts w:hint="eastAsia"/>
        </w:rPr>
        <w:t>95.10</w:t>
      </w:r>
      <w:r>
        <w:t>%）</w:t>
      </w:r>
      <w:r>
        <w:rPr>
          <w:rFonts w:hint="eastAsia"/>
        </w:rPr>
        <w:t>；</w:t>
      </w:r>
      <w:r>
        <w:t>专业设置满意度较高的</w:t>
      </w:r>
      <w:r>
        <w:rPr>
          <w:rFonts w:hint="eastAsia"/>
        </w:rPr>
        <w:t>专业</w:t>
      </w:r>
      <w:r>
        <w:t>为：广告学（</w:t>
      </w:r>
      <w:r>
        <w:rPr>
          <w:rFonts w:hint="eastAsia"/>
        </w:rPr>
        <w:t>100</w:t>
      </w:r>
      <w:r>
        <w:t>%）</w:t>
      </w:r>
      <w:r>
        <w:rPr>
          <w:rFonts w:hint="eastAsia"/>
        </w:rPr>
        <w:t>、会计</w:t>
      </w:r>
      <w:r>
        <w:t>（96.08%）</w:t>
      </w:r>
      <w:r>
        <w:rPr>
          <w:rFonts w:hint="eastAsia"/>
        </w:rPr>
        <w:t>、经济</w:t>
      </w:r>
      <w:r>
        <w:t>学（</w:t>
      </w:r>
      <w:r>
        <w:rPr>
          <w:rFonts w:hint="eastAsia"/>
        </w:rPr>
        <w:t>95.65</w:t>
      </w:r>
      <w:r>
        <w:t>%）</w:t>
      </w:r>
      <w:r>
        <w:rPr>
          <w:rFonts w:hint="eastAsia"/>
        </w:rPr>
        <w:t>。具体</w:t>
      </w:r>
      <w:r>
        <w:t>情况见表</w:t>
      </w:r>
      <w:r>
        <w:rPr>
          <w:rFonts w:hint="eastAsia"/>
        </w:rPr>
        <w:t>6</w:t>
      </w:r>
      <w:r>
        <w:t>-2。</w:t>
      </w:r>
    </w:p>
    <w:p>
      <w:pPr>
        <w:pStyle w:val="8"/>
        <w:jc w:val="center"/>
        <w:rPr>
          <w:rFonts w:asciiTheme="minorEastAsia" w:hAnsiTheme="minorEastAsia" w:eastAsiaTheme="minorEastAsia"/>
          <w:sz w:val="18"/>
          <w:szCs w:val="18"/>
        </w:rPr>
      </w:pPr>
      <w:bookmarkStart w:id="253" w:name="_Toc470886953"/>
      <w:r>
        <w:rPr>
          <w:rFonts w:hint="eastAsia" w:asciiTheme="minorEastAsia" w:hAnsiTheme="minorEastAsia" w:eastAsiaTheme="minorEastAsia"/>
          <w:sz w:val="18"/>
          <w:szCs w:val="18"/>
        </w:rPr>
        <w:t>表6-</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表6-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2</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分</w:t>
      </w:r>
      <w:r>
        <w:rPr>
          <w:rFonts w:asciiTheme="minorEastAsia" w:hAnsiTheme="minorEastAsia" w:eastAsiaTheme="minorEastAsia"/>
          <w:sz w:val="18"/>
          <w:szCs w:val="18"/>
        </w:rPr>
        <w:t>专业毕业生对母校教学方面的满意度</w:t>
      </w:r>
      <w:bookmarkEnd w:id="253"/>
    </w:p>
    <w:tbl>
      <w:tblPr>
        <w:tblStyle w:val="50"/>
        <w:tblW w:w="10326" w:type="dxa"/>
        <w:jc w:val="center"/>
        <w:tblInd w:w="0" w:type="dxa"/>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
      <w:tblGrid>
        <w:gridCol w:w="1836"/>
        <w:gridCol w:w="759"/>
        <w:gridCol w:w="939"/>
        <w:gridCol w:w="759"/>
        <w:gridCol w:w="939"/>
        <w:gridCol w:w="759"/>
        <w:gridCol w:w="939"/>
        <w:gridCol w:w="759"/>
        <w:gridCol w:w="939"/>
        <w:gridCol w:w="759"/>
        <w:gridCol w:w="939"/>
      </w:tblGrid>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blHeader/>
          <w:jc w:val="center"/>
        </w:trPr>
        <w:tc>
          <w:tcPr>
            <w:tcW w:w="1836" w:type="dxa"/>
            <w:vMerge w:val="restart"/>
            <w:tcBorders>
              <w:top w:val="single" w:color="ED7D31" w:themeColor="accent2" w:sz="4" w:space="0"/>
              <w:left w:val="single" w:color="ED7D31" w:themeColor="accent2" w:sz="4" w:space="0"/>
              <w:bottom w:val="single" w:color="FFFFFF" w:themeColor="background1" w:sz="4" w:space="0"/>
              <w:right w:val="nil"/>
              <w:insideV w:val="nil"/>
            </w:tcBorders>
            <w:shd w:val="clear" w:color="auto" w:fill="ED7D31" w:themeFill="accent2"/>
            <w:vAlign w:val="center"/>
          </w:tcPr>
          <w:p>
            <w:pPr>
              <w:widowControl/>
              <w:jc w:val="center"/>
              <w:rPr>
                <w:rFonts w:cs="宋体" w:asciiTheme="minorEastAsia" w:hAnsiTheme="minorEastAsia"/>
                <w:b/>
                <w:bCs/>
                <w:color w:val="FFFFFF" w:themeColor="background1"/>
                <w:kern w:val="0"/>
                <w:sz w:val="18"/>
                <w:szCs w:val="18"/>
                <w14:textFill>
                  <w14:solidFill>
                    <w14:schemeClr w14:val="bg1"/>
                  </w14:solidFill>
                </w14:textFill>
              </w:rPr>
            </w:pPr>
            <w:r>
              <w:rPr>
                <w:rFonts w:hint="eastAsia" w:cs="宋体" w:asciiTheme="minorEastAsia" w:hAnsiTheme="minorEastAsia"/>
                <w:b/>
                <w:bCs/>
                <w:color w:val="FFFFFF" w:themeColor="background1"/>
                <w:kern w:val="0"/>
                <w:sz w:val="18"/>
                <w:szCs w:val="18"/>
                <w14:textFill>
                  <w14:solidFill>
                    <w14:schemeClr w14:val="bg1"/>
                  </w14:solidFill>
                </w14:textFill>
              </w:rPr>
              <w:t>专业名称</w:t>
            </w:r>
          </w:p>
        </w:tc>
        <w:tc>
          <w:tcPr>
            <w:tcW w:w="1698" w:type="dxa"/>
            <w:gridSpan w:val="2"/>
            <w:tcBorders>
              <w:top w:val="single" w:color="ED7D31" w:themeColor="accent2" w:sz="4" w:space="0"/>
              <w:left w:val="single" w:color="FFFFFF" w:themeColor="background1" w:sz="4" w:space="0"/>
              <w:bottom w:val="single" w:color="FFFFFF" w:themeColor="background1" w:sz="4" w:space="0"/>
              <w:right w:val="nil"/>
              <w:insideV w:val="nil"/>
            </w:tcBorders>
            <w:shd w:val="clear" w:color="auto" w:fill="ED7D31" w:themeFill="accent2"/>
            <w:vAlign w:val="center"/>
          </w:tcPr>
          <w:p>
            <w:pPr>
              <w:widowControl/>
              <w:jc w:val="center"/>
              <w:rPr>
                <w:rFonts w:cs="宋体" w:asciiTheme="minorEastAsia" w:hAnsiTheme="minorEastAsia"/>
                <w:b/>
                <w:bCs/>
                <w:color w:val="FFFFFF" w:themeColor="background1"/>
                <w:kern w:val="0"/>
                <w:sz w:val="18"/>
                <w:szCs w:val="18"/>
                <w14:textFill>
                  <w14:solidFill>
                    <w14:schemeClr w14:val="bg1"/>
                  </w14:solidFill>
                </w14:textFill>
              </w:rPr>
            </w:pPr>
            <w:r>
              <w:rPr>
                <w:rFonts w:hint="eastAsia" w:cs="宋体" w:asciiTheme="minorEastAsia" w:hAnsiTheme="minorEastAsia"/>
                <w:b/>
                <w:bCs/>
                <w:color w:val="FFFFFF" w:themeColor="background1"/>
                <w:kern w:val="0"/>
                <w:sz w:val="18"/>
                <w:szCs w:val="18"/>
                <w14:textFill>
                  <w14:solidFill>
                    <w14:schemeClr w14:val="bg1"/>
                  </w14:solidFill>
                </w14:textFill>
              </w:rPr>
              <w:t>总体人才培养</w:t>
            </w:r>
          </w:p>
        </w:tc>
        <w:tc>
          <w:tcPr>
            <w:tcW w:w="1698" w:type="dxa"/>
            <w:gridSpan w:val="2"/>
            <w:tcBorders>
              <w:top w:val="single" w:color="ED7D31" w:themeColor="accent2" w:sz="4" w:space="0"/>
              <w:left w:val="single" w:color="FFFFFF" w:themeColor="background1" w:sz="4" w:space="0"/>
              <w:bottom w:val="single" w:color="FFFFFF" w:themeColor="background1" w:sz="4" w:space="0"/>
              <w:right w:val="nil"/>
              <w:insideV w:val="nil"/>
            </w:tcBorders>
            <w:shd w:val="clear" w:color="auto" w:fill="ED7D31" w:themeFill="accent2"/>
            <w:vAlign w:val="center"/>
          </w:tcPr>
          <w:p>
            <w:pPr>
              <w:widowControl/>
              <w:jc w:val="center"/>
              <w:rPr>
                <w:rFonts w:cs="宋体" w:asciiTheme="minorEastAsia" w:hAnsiTheme="minorEastAsia"/>
                <w:b/>
                <w:bCs/>
                <w:color w:val="FFFFFF" w:themeColor="background1"/>
                <w:kern w:val="0"/>
                <w:sz w:val="18"/>
                <w:szCs w:val="18"/>
                <w14:textFill>
                  <w14:solidFill>
                    <w14:schemeClr w14:val="bg1"/>
                  </w14:solidFill>
                </w14:textFill>
              </w:rPr>
            </w:pPr>
            <w:r>
              <w:rPr>
                <w:rFonts w:hint="eastAsia" w:cs="宋体" w:asciiTheme="minorEastAsia" w:hAnsiTheme="minorEastAsia"/>
                <w:b/>
                <w:bCs/>
                <w:color w:val="FFFFFF" w:themeColor="background1"/>
                <w:kern w:val="0"/>
                <w:sz w:val="18"/>
                <w:szCs w:val="18"/>
                <w14:textFill>
                  <w14:solidFill>
                    <w14:schemeClr w14:val="bg1"/>
                  </w14:solidFill>
                </w14:textFill>
              </w:rPr>
              <w:t>老师授课</w:t>
            </w:r>
          </w:p>
        </w:tc>
        <w:tc>
          <w:tcPr>
            <w:tcW w:w="1698" w:type="dxa"/>
            <w:gridSpan w:val="2"/>
            <w:tcBorders>
              <w:top w:val="single" w:color="ED7D31" w:themeColor="accent2" w:sz="4" w:space="0"/>
              <w:left w:val="single" w:color="FFFFFF" w:themeColor="background1" w:sz="4" w:space="0"/>
              <w:bottom w:val="single" w:color="FFFFFF" w:themeColor="background1" w:sz="4" w:space="0"/>
              <w:right w:val="nil"/>
              <w:insideV w:val="nil"/>
            </w:tcBorders>
            <w:shd w:val="clear" w:color="auto" w:fill="ED7D31" w:themeFill="accent2"/>
            <w:vAlign w:val="center"/>
          </w:tcPr>
          <w:p>
            <w:pPr>
              <w:widowControl/>
              <w:jc w:val="center"/>
              <w:rPr>
                <w:rFonts w:cs="宋体" w:asciiTheme="minorEastAsia" w:hAnsiTheme="minorEastAsia"/>
                <w:b/>
                <w:bCs/>
                <w:color w:val="FFFFFF" w:themeColor="background1"/>
                <w:kern w:val="0"/>
                <w:sz w:val="18"/>
                <w:szCs w:val="18"/>
                <w14:textFill>
                  <w14:solidFill>
                    <w14:schemeClr w14:val="bg1"/>
                  </w14:solidFill>
                </w14:textFill>
              </w:rPr>
            </w:pPr>
            <w:r>
              <w:rPr>
                <w:rFonts w:hint="eastAsia" w:cs="宋体" w:asciiTheme="minorEastAsia" w:hAnsiTheme="minorEastAsia"/>
                <w:b/>
                <w:bCs/>
                <w:color w:val="FFFFFF" w:themeColor="background1"/>
                <w:kern w:val="0"/>
                <w:sz w:val="18"/>
                <w:szCs w:val="18"/>
                <w14:textFill>
                  <w14:solidFill>
                    <w14:schemeClr w14:val="bg1"/>
                  </w14:solidFill>
                </w14:textFill>
              </w:rPr>
              <w:t>实践教学</w:t>
            </w:r>
          </w:p>
        </w:tc>
        <w:tc>
          <w:tcPr>
            <w:tcW w:w="1698" w:type="dxa"/>
            <w:gridSpan w:val="2"/>
            <w:tcBorders>
              <w:top w:val="single" w:color="ED7D31" w:themeColor="accent2" w:sz="4" w:space="0"/>
              <w:left w:val="single" w:color="FFFFFF" w:themeColor="background1" w:sz="4" w:space="0"/>
              <w:bottom w:val="single" w:color="FFFFFF" w:themeColor="background1" w:sz="4" w:space="0"/>
              <w:right w:val="nil"/>
              <w:insideV w:val="nil"/>
            </w:tcBorders>
            <w:shd w:val="clear" w:color="auto" w:fill="ED7D31" w:themeFill="accent2"/>
            <w:vAlign w:val="center"/>
          </w:tcPr>
          <w:p>
            <w:pPr>
              <w:widowControl/>
              <w:jc w:val="center"/>
              <w:rPr>
                <w:rFonts w:cs="宋体" w:asciiTheme="minorEastAsia" w:hAnsiTheme="minorEastAsia"/>
                <w:b/>
                <w:bCs/>
                <w:color w:val="FFFFFF" w:themeColor="background1"/>
                <w:kern w:val="0"/>
                <w:sz w:val="18"/>
                <w:szCs w:val="18"/>
                <w14:textFill>
                  <w14:solidFill>
                    <w14:schemeClr w14:val="bg1"/>
                  </w14:solidFill>
                </w14:textFill>
              </w:rPr>
            </w:pPr>
            <w:r>
              <w:rPr>
                <w:rFonts w:hint="eastAsia" w:cs="宋体" w:asciiTheme="minorEastAsia" w:hAnsiTheme="minorEastAsia"/>
                <w:b/>
                <w:bCs/>
                <w:color w:val="FFFFFF" w:themeColor="background1"/>
                <w:kern w:val="0"/>
                <w:sz w:val="18"/>
                <w:szCs w:val="18"/>
                <w14:textFill>
                  <w14:solidFill>
                    <w14:schemeClr w14:val="bg1"/>
                  </w14:solidFill>
                </w14:textFill>
              </w:rPr>
              <w:t>课程设置</w:t>
            </w:r>
          </w:p>
        </w:tc>
        <w:tc>
          <w:tcPr>
            <w:tcW w:w="1698" w:type="dxa"/>
            <w:gridSpan w:val="2"/>
            <w:tcBorders>
              <w:top w:val="single" w:color="ED7D31" w:themeColor="accent2" w:sz="4" w:space="0"/>
              <w:left w:val="single" w:color="FFFFFF" w:themeColor="background1" w:sz="4" w:space="0"/>
              <w:bottom w:val="single" w:color="FFFFFF" w:themeColor="background1" w:sz="4" w:space="0"/>
              <w:right w:val="single" w:color="ED7D31" w:themeColor="accent2" w:sz="4" w:space="0"/>
              <w:insideV w:val="nil"/>
            </w:tcBorders>
            <w:shd w:val="clear" w:color="auto" w:fill="ED7D31" w:themeFill="accent2"/>
            <w:vAlign w:val="center"/>
          </w:tcPr>
          <w:p>
            <w:pPr>
              <w:widowControl/>
              <w:jc w:val="center"/>
              <w:rPr>
                <w:rFonts w:cs="宋体" w:asciiTheme="minorEastAsia" w:hAnsiTheme="minorEastAsia"/>
                <w:b/>
                <w:bCs/>
                <w:color w:val="FFFFFF" w:themeColor="background1"/>
                <w:kern w:val="0"/>
                <w:sz w:val="18"/>
                <w:szCs w:val="18"/>
                <w14:textFill>
                  <w14:solidFill>
                    <w14:schemeClr w14:val="bg1"/>
                  </w14:solidFill>
                </w14:textFill>
              </w:rPr>
            </w:pPr>
            <w:r>
              <w:rPr>
                <w:rFonts w:hint="eastAsia" w:cs="宋体" w:asciiTheme="minorEastAsia" w:hAnsiTheme="minorEastAsia"/>
                <w:b/>
                <w:bCs/>
                <w:color w:val="FFFFFF" w:themeColor="background1"/>
                <w:kern w:val="0"/>
                <w:sz w:val="18"/>
                <w:szCs w:val="18"/>
                <w14:textFill>
                  <w14:solidFill>
                    <w14:schemeClr w14:val="bg1"/>
                  </w14:solidFill>
                </w14:textFill>
              </w:rPr>
              <w:t>专业设置</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blHeader/>
          <w:jc w:val="center"/>
        </w:trPr>
        <w:tc>
          <w:tcPr>
            <w:tcW w:w="1836" w:type="dxa"/>
            <w:vMerge w:val="continue"/>
            <w:tcBorders>
              <w:top w:val="single" w:color="FFFFFF" w:themeColor="background1" w:sz="4" w:space="0"/>
              <w:left w:val="single" w:color="ED7D31" w:themeColor="accent2" w:sz="4" w:space="0"/>
              <w:bottom w:val="single" w:color="ED7D31" w:themeColor="accent2" w:sz="4" w:space="0"/>
              <w:right w:val="nil"/>
              <w:insideH w:val="single" w:sz="4" w:space="0"/>
              <w:insideV w:val="nil"/>
            </w:tcBorders>
            <w:shd w:val="clear" w:color="auto" w:fill="ED7D31" w:themeFill="accent2"/>
            <w:vAlign w:val="center"/>
          </w:tcPr>
          <w:p>
            <w:pPr>
              <w:widowControl/>
              <w:jc w:val="center"/>
              <w:rPr>
                <w:rFonts w:cs="宋体" w:asciiTheme="minorEastAsia" w:hAnsiTheme="minorEastAsia"/>
                <w:b/>
                <w:bCs/>
                <w:color w:val="FFFFFF" w:themeColor="background1"/>
                <w:kern w:val="0"/>
                <w:sz w:val="18"/>
                <w:szCs w:val="18"/>
                <w14:textFill>
                  <w14:solidFill>
                    <w14:schemeClr w14:val="bg1"/>
                  </w14:solidFill>
                </w14:textFill>
              </w:rPr>
            </w:pPr>
          </w:p>
        </w:tc>
        <w:tc>
          <w:tcPr>
            <w:tcW w:w="759" w:type="dxa"/>
            <w:tcBorders>
              <w:top w:val="single" w:color="FFFFFF" w:themeColor="background1" w:sz="4" w:space="0"/>
              <w:left w:val="single" w:color="FFFFFF" w:themeColor="background1" w:sz="4" w:space="0"/>
              <w:bottom w:val="single" w:color="ED7D31" w:themeColor="accent2" w:sz="4" w:space="0"/>
              <w:right w:val="nil"/>
              <w:insideH w:val="single" w:sz="4" w:space="0"/>
              <w:insideV w:val="nil"/>
            </w:tcBorders>
            <w:shd w:val="clear" w:color="auto" w:fill="ED7D31" w:themeFill="accent2"/>
            <w:vAlign w:val="center"/>
          </w:tcPr>
          <w:p>
            <w:pPr>
              <w:widowControl/>
              <w:jc w:val="center"/>
              <w:rPr>
                <w:rFonts w:cs="宋体" w:asciiTheme="minorEastAsia" w:hAnsiTheme="minorEastAsia"/>
                <w:b/>
                <w:bCs/>
                <w:color w:val="FFFFFF" w:themeColor="background1"/>
                <w:kern w:val="0"/>
                <w:sz w:val="18"/>
                <w:szCs w:val="18"/>
                <w14:textFill>
                  <w14:solidFill>
                    <w14:schemeClr w14:val="bg1"/>
                  </w14:solidFill>
                </w14:textFill>
              </w:rPr>
            </w:pPr>
            <w:r>
              <w:rPr>
                <w:rFonts w:hint="eastAsia" w:cs="宋体" w:asciiTheme="minorEastAsia" w:hAnsiTheme="minorEastAsia"/>
                <w:b/>
                <w:bCs/>
                <w:color w:val="FFFFFF" w:themeColor="background1"/>
                <w:kern w:val="0"/>
                <w:sz w:val="18"/>
                <w:szCs w:val="18"/>
                <w14:textFill>
                  <w14:solidFill>
                    <w14:schemeClr w14:val="bg1"/>
                  </w14:solidFill>
                </w14:textFill>
              </w:rPr>
              <w:t>满意度</w:t>
            </w:r>
          </w:p>
        </w:tc>
        <w:tc>
          <w:tcPr>
            <w:tcW w:w="939" w:type="dxa"/>
            <w:tcBorders>
              <w:top w:val="single" w:color="FFFFFF" w:themeColor="background1" w:sz="4" w:space="0"/>
              <w:left w:val="single" w:color="FFFFFF" w:themeColor="background1" w:sz="4" w:space="0"/>
              <w:bottom w:val="single" w:color="ED7D31" w:themeColor="accent2" w:sz="4" w:space="0"/>
              <w:right w:val="nil"/>
              <w:insideH w:val="single" w:sz="4" w:space="0"/>
              <w:insideV w:val="nil"/>
            </w:tcBorders>
            <w:shd w:val="clear" w:color="auto" w:fill="ED7D31" w:themeFill="accent2"/>
            <w:vAlign w:val="center"/>
          </w:tcPr>
          <w:p>
            <w:pPr>
              <w:widowControl/>
              <w:jc w:val="center"/>
              <w:rPr>
                <w:rFonts w:cs="宋体" w:asciiTheme="minorEastAsia" w:hAnsiTheme="minorEastAsia"/>
                <w:b/>
                <w:bCs/>
                <w:color w:val="FFFFFF" w:themeColor="background1"/>
                <w:kern w:val="0"/>
                <w:sz w:val="18"/>
                <w:szCs w:val="18"/>
                <w14:textFill>
                  <w14:solidFill>
                    <w14:schemeClr w14:val="bg1"/>
                  </w14:solidFill>
                </w14:textFill>
              </w:rPr>
            </w:pPr>
            <w:r>
              <w:rPr>
                <w:rFonts w:hint="eastAsia" w:cs="宋体" w:asciiTheme="minorEastAsia" w:hAnsiTheme="minorEastAsia"/>
                <w:b/>
                <w:bCs/>
                <w:color w:val="FFFFFF" w:themeColor="background1"/>
                <w:kern w:val="0"/>
                <w:sz w:val="18"/>
                <w:szCs w:val="18"/>
                <w14:textFill>
                  <w14:solidFill>
                    <w14:schemeClr w14:val="bg1"/>
                  </w14:solidFill>
                </w14:textFill>
              </w:rPr>
              <w:t>平均得分</w:t>
            </w:r>
          </w:p>
        </w:tc>
        <w:tc>
          <w:tcPr>
            <w:tcW w:w="759" w:type="dxa"/>
            <w:tcBorders>
              <w:top w:val="single" w:color="FFFFFF" w:themeColor="background1" w:sz="4" w:space="0"/>
              <w:left w:val="single" w:color="FFFFFF" w:themeColor="background1" w:sz="4" w:space="0"/>
              <w:bottom w:val="single" w:color="ED7D31" w:themeColor="accent2" w:sz="4" w:space="0"/>
              <w:right w:val="nil"/>
              <w:insideH w:val="single" w:sz="4" w:space="0"/>
              <w:insideV w:val="nil"/>
            </w:tcBorders>
            <w:shd w:val="clear" w:color="auto" w:fill="ED7D31" w:themeFill="accent2"/>
            <w:vAlign w:val="center"/>
          </w:tcPr>
          <w:p>
            <w:pPr>
              <w:widowControl/>
              <w:jc w:val="center"/>
              <w:rPr>
                <w:rFonts w:cs="宋体" w:asciiTheme="minorEastAsia" w:hAnsiTheme="minorEastAsia"/>
                <w:b/>
                <w:bCs/>
                <w:color w:val="FFFFFF" w:themeColor="background1"/>
                <w:kern w:val="0"/>
                <w:sz w:val="18"/>
                <w:szCs w:val="18"/>
                <w14:textFill>
                  <w14:solidFill>
                    <w14:schemeClr w14:val="bg1"/>
                  </w14:solidFill>
                </w14:textFill>
              </w:rPr>
            </w:pPr>
            <w:r>
              <w:rPr>
                <w:rFonts w:hint="eastAsia" w:cs="宋体" w:asciiTheme="minorEastAsia" w:hAnsiTheme="minorEastAsia"/>
                <w:b/>
                <w:bCs/>
                <w:color w:val="FFFFFF" w:themeColor="background1"/>
                <w:kern w:val="0"/>
                <w:sz w:val="18"/>
                <w:szCs w:val="18"/>
                <w14:textFill>
                  <w14:solidFill>
                    <w14:schemeClr w14:val="bg1"/>
                  </w14:solidFill>
                </w14:textFill>
              </w:rPr>
              <w:t>满意度</w:t>
            </w:r>
          </w:p>
        </w:tc>
        <w:tc>
          <w:tcPr>
            <w:tcW w:w="939" w:type="dxa"/>
            <w:tcBorders>
              <w:top w:val="single" w:color="FFFFFF" w:themeColor="background1" w:sz="4" w:space="0"/>
              <w:left w:val="single" w:color="FFFFFF" w:themeColor="background1" w:sz="4" w:space="0"/>
              <w:bottom w:val="single" w:color="ED7D31" w:themeColor="accent2" w:sz="4" w:space="0"/>
              <w:right w:val="nil"/>
              <w:insideH w:val="single" w:sz="4" w:space="0"/>
              <w:insideV w:val="nil"/>
            </w:tcBorders>
            <w:shd w:val="clear" w:color="auto" w:fill="ED7D31" w:themeFill="accent2"/>
            <w:vAlign w:val="center"/>
          </w:tcPr>
          <w:p>
            <w:pPr>
              <w:widowControl/>
              <w:jc w:val="center"/>
              <w:rPr>
                <w:rFonts w:cs="宋体" w:asciiTheme="minorEastAsia" w:hAnsiTheme="minorEastAsia"/>
                <w:b/>
                <w:bCs/>
                <w:color w:val="FFFFFF" w:themeColor="background1"/>
                <w:kern w:val="0"/>
                <w:sz w:val="18"/>
                <w:szCs w:val="18"/>
                <w14:textFill>
                  <w14:solidFill>
                    <w14:schemeClr w14:val="bg1"/>
                  </w14:solidFill>
                </w14:textFill>
              </w:rPr>
            </w:pPr>
            <w:r>
              <w:rPr>
                <w:rFonts w:hint="eastAsia" w:cs="宋体" w:asciiTheme="minorEastAsia" w:hAnsiTheme="minorEastAsia"/>
                <w:b/>
                <w:bCs/>
                <w:color w:val="FFFFFF" w:themeColor="background1"/>
                <w:kern w:val="0"/>
                <w:sz w:val="18"/>
                <w:szCs w:val="18"/>
                <w14:textFill>
                  <w14:solidFill>
                    <w14:schemeClr w14:val="bg1"/>
                  </w14:solidFill>
                </w14:textFill>
              </w:rPr>
              <w:t>平均得分</w:t>
            </w:r>
          </w:p>
        </w:tc>
        <w:tc>
          <w:tcPr>
            <w:tcW w:w="759" w:type="dxa"/>
            <w:tcBorders>
              <w:top w:val="single" w:color="FFFFFF" w:themeColor="background1" w:sz="4" w:space="0"/>
              <w:left w:val="single" w:color="FFFFFF" w:themeColor="background1" w:sz="4" w:space="0"/>
              <w:bottom w:val="single" w:color="ED7D31" w:themeColor="accent2" w:sz="4" w:space="0"/>
              <w:right w:val="nil"/>
              <w:insideH w:val="single" w:sz="4" w:space="0"/>
              <w:insideV w:val="nil"/>
            </w:tcBorders>
            <w:shd w:val="clear" w:color="auto" w:fill="ED7D31" w:themeFill="accent2"/>
            <w:vAlign w:val="center"/>
          </w:tcPr>
          <w:p>
            <w:pPr>
              <w:widowControl/>
              <w:jc w:val="center"/>
              <w:rPr>
                <w:rFonts w:cs="宋体" w:asciiTheme="minorEastAsia" w:hAnsiTheme="minorEastAsia"/>
                <w:b/>
                <w:bCs/>
                <w:color w:val="FFFFFF" w:themeColor="background1"/>
                <w:kern w:val="0"/>
                <w:sz w:val="18"/>
                <w:szCs w:val="18"/>
                <w14:textFill>
                  <w14:solidFill>
                    <w14:schemeClr w14:val="bg1"/>
                  </w14:solidFill>
                </w14:textFill>
              </w:rPr>
            </w:pPr>
            <w:r>
              <w:rPr>
                <w:rFonts w:hint="eastAsia" w:cs="宋体" w:asciiTheme="minorEastAsia" w:hAnsiTheme="minorEastAsia"/>
                <w:b/>
                <w:bCs/>
                <w:color w:val="FFFFFF" w:themeColor="background1"/>
                <w:kern w:val="0"/>
                <w:sz w:val="18"/>
                <w:szCs w:val="18"/>
                <w14:textFill>
                  <w14:solidFill>
                    <w14:schemeClr w14:val="bg1"/>
                  </w14:solidFill>
                </w14:textFill>
              </w:rPr>
              <w:t>满意度</w:t>
            </w:r>
          </w:p>
        </w:tc>
        <w:tc>
          <w:tcPr>
            <w:tcW w:w="939" w:type="dxa"/>
            <w:tcBorders>
              <w:top w:val="single" w:color="FFFFFF" w:themeColor="background1" w:sz="4" w:space="0"/>
              <w:left w:val="single" w:color="FFFFFF" w:themeColor="background1" w:sz="4" w:space="0"/>
              <w:bottom w:val="single" w:color="ED7D31" w:themeColor="accent2" w:sz="4" w:space="0"/>
              <w:right w:val="nil"/>
              <w:insideH w:val="single" w:sz="4" w:space="0"/>
              <w:insideV w:val="nil"/>
            </w:tcBorders>
            <w:shd w:val="clear" w:color="auto" w:fill="ED7D31" w:themeFill="accent2"/>
            <w:vAlign w:val="center"/>
          </w:tcPr>
          <w:p>
            <w:pPr>
              <w:widowControl/>
              <w:jc w:val="center"/>
              <w:rPr>
                <w:rFonts w:cs="宋体" w:asciiTheme="minorEastAsia" w:hAnsiTheme="minorEastAsia"/>
                <w:b/>
                <w:bCs/>
                <w:color w:val="FFFFFF" w:themeColor="background1"/>
                <w:kern w:val="0"/>
                <w:sz w:val="18"/>
                <w:szCs w:val="18"/>
                <w14:textFill>
                  <w14:solidFill>
                    <w14:schemeClr w14:val="bg1"/>
                  </w14:solidFill>
                </w14:textFill>
              </w:rPr>
            </w:pPr>
            <w:r>
              <w:rPr>
                <w:rFonts w:hint="eastAsia" w:cs="宋体" w:asciiTheme="minorEastAsia" w:hAnsiTheme="minorEastAsia"/>
                <w:b/>
                <w:bCs/>
                <w:color w:val="FFFFFF" w:themeColor="background1"/>
                <w:kern w:val="0"/>
                <w:sz w:val="18"/>
                <w:szCs w:val="18"/>
                <w14:textFill>
                  <w14:solidFill>
                    <w14:schemeClr w14:val="bg1"/>
                  </w14:solidFill>
                </w14:textFill>
              </w:rPr>
              <w:t>平均得分</w:t>
            </w:r>
          </w:p>
        </w:tc>
        <w:tc>
          <w:tcPr>
            <w:tcW w:w="759" w:type="dxa"/>
            <w:tcBorders>
              <w:top w:val="single" w:color="FFFFFF" w:themeColor="background1" w:sz="4" w:space="0"/>
              <w:left w:val="single" w:color="FFFFFF" w:themeColor="background1" w:sz="4" w:space="0"/>
              <w:bottom w:val="single" w:color="ED7D31" w:themeColor="accent2" w:sz="4" w:space="0"/>
              <w:right w:val="nil"/>
              <w:insideH w:val="single" w:sz="4" w:space="0"/>
              <w:insideV w:val="nil"/>
            </w:tcBorders>
            <w:shd w:val="clear" w:color="auto" w:fill="ED7D31" w:themeFill="accent2"/>
            <w:vAlign w:val="center"/>
          </w:tcPr>
          <w:p>
            <w:pPr>
              <w:widowControl/>
              <w:jc w:val="center"/>
              <w:rPr>
                <w:rFonts w:cs="宋体" w:asciiTheme="minorEastAsia" w:hAnsiTheme="minorEastAsia"/>
                <w:b/>
                <w:bCs/>
                <w:color w:val="FFFFFF" w:themeColor="background1"/>
                <w:kern w:val="0"/>
                <w:sz w:val="18"/>
                <w:szCs w:val="18"/>
                <w14:textFill>
                  <w14:solidFill>
                    <w14:schemeClr w14:val="bg1"/>
                  </w14:solidFill>
                </w14:textFill>
              </w:rPr>
            </w:pPr>
            <w:r>
              <w:rPr>
                <w:rFonts w:hint="eastAsia" w:cs="宋体" w:asciiTheme="minorEastAsia" w:hAnsiTheme="minorEastAsia"/>
                <w:b/>
                <w:bCs/>
                <w:color w:val="FFFFFF" w:themeColor="background1"/>
                <w:kern w:val="0"/>
                <w:sz w:val="18"/>
                <w:szCs w:val="18"/>
                <w14:textFill>
                  <w14:solidFill>
                    <w14:schemeClr w14:val="bg1"/>
                  </w14:solidFill>
                </w14:textFill>
              </w:rPr>
              <w:t>满意度</w:t>
            </w:r>
          </w:p>
        </w:tc>
        <w:tc>
          <w:tcPr>
            <w:tcW w:w="939" w:type="dxa"/>
            <w:tcBorders>
              <w:top w:val="single" w:color="FFFFFF" w:themeColor="background1" w:sz="4" w:space="0"/>
              <w:left w:val="single" w:color="FFFFFF" w:themeColor="background1" w:sz="4" w:space="0"/>
              <w:bottom w:val="single" w:color="ED7D31" w:themeColor="accent2" w:sz="4" w:space="0"/>
              <w:right w:val="nil"/>
              <w:insideH w:val="single" w:sz="4" w:space="0"/>
              <w:insideV w:val="nil"/>
            </w:tcBorders>
            <w:shd w:val="clear" w:color="auto" w:fill="ED7D31" w:themeFill="accent2"/>
            <w:vAlign w:val="center"/>
          </w:tcPr>
          <w:p>
            <w:pPr>
              <w:widowControl/>
              <w:jc w:val="center"/>
              <w:rPr>
                <w:rFonts w:cs="宋体" w:asciiTheme="minorEastAsia" w:hAnsiTheme="minorEastAsia"/>
                <w:b/>
                <w:bCs/>
                <w:color w:val="FFFFFF" w:themeColor="background1"/>
                <w:kern w:val="0"/>
                <w:sz w:val="18"/>
                <w:szCs w:val="18"/>
                <w14:textFill>
                  <w14:solidFill>
                    <w14:schemeClr w14:val="bg1"/>
                  </w14:solidFill>
                </w14:textFill>
              </w:rPr>
            </w:pPr>
            <w:r>
              <w:rPr>
                <w:rFonts w:hint="eastAsia" w:cs="宋体" w:asciiTheme="minorEastAsia" w:hAnsiTheme="minorEastAsia"/>
                <w:b/>
                <w:bCs/>
                <w:color w:val="FFFFFF" w:themeColor="background1"/>
                <w:kern w:val="0"/>
                <w:sz w:val="18"/>
                <w:szCs w:val="18"/>
                <w14:textFill>
                  <w14:solidFill>
                    <w14:schemeClr w14:val="bg1"/>
                  </w14:solidFill>
                </w14:textFill>
              </w:rPr>
              <w:t>平均得分</w:t>
            </w:r>
          </w:p>
        </w:tc>
        <w:tc>
          <w:tcPr>
            <w:tcW w:w="759" w:type="dxa"/>
            <w:tcBorders>
              <w:top w:val="single" w:color="FFFFFF" w:themeColor="background1" w:sz="4" w:space="0"/>
              <w:left w:val="single" w:color="FFFFFF" w:themeColor="background1" w:sz="4" w:space="0"/>
              <w:bottom w:val="single" w:color="ED7D31" w:themeColor="accent2" w:sz="4" w:space="0"/>
              <w:right w:val="nil"/>
              <w:insideH w:val="single" w:sz="4" w:space="0"/>
              <w:insideV w:val="nil"/>
            </w:tcBorders>
            <w:shd w:val="clear" w:color="auto" w:fill="ED7D31" w:themeFill="accent2"/>
            <w:vAlign w:val="center"/>
          </w:tcPr>
          <w:p>
            <w:pPr>
              <w:widowControl/>
              <w:jc w:val="center"/>
              <w:rPr>
                <w:rFonts w:cs="宋体" w:asciiTheme="minorEastAsia" w:hAnsiTheme="minorEastAsia"/>
                <w:b/>
                <w:bCs/>
                <w:color w:val="FFFFFF" w:themeColor="background1"/>
                <w:kern w:val="0"/>
                <w:sz w:val="18"/>
                <w:szCs w:val="18"/>
                <w14:textFill>
                  <w14:solidFill>
                    <w14:schemeClr w14:val="bg1"/>
                  </w14:solidFill>
                </w14:textFill>
              </w:rPr>
            </w:pPr>
            <w:r>
              <w:rPr>
                <w:rFonts w:hint="eastAsia" w:cs="宋体" w:asciiTheme="minorEastAsia" w:hAnsiTheme="minorEastAsia"/>
                <w:b/>
                <w:bCs/>
                <w:color w:val="FFFFFF" w:themeColor="background1"/>
                <w:kern w:val="0"/>
                <w:sz w:val="18"/>
                <w:szCs w:val="18"/>
                <w14:textFill>
                  <w14:solidFill>
                    <w14:schemeClr w14:val="bg1"/>
                  </w14:solidFill>
                </w14:textFill>
              </w:rPr>
              <w:t>满意度</w:t>
            </w:r>
          </w:p>
        </w:tc>
        <w:tc>
          <w:tcPr>
            <w:tcW w:w="939" w:type="dxa"/>
            <w:tcBorders>
              <w:top w:val="single" w:color="FFFFFF" w:themeColor="background1" w:sz="4" w:space="0"/>
              <w:left w:val="single" w:color="FFFFFF" w:themeColor="background1" w:sz="4" w:space="0"/>
              <w:bottom w:val="single" w:color="ED7D31" w:themeColor="accent2" w:sz="4" w:space="0"/>
              <w:right w:val="single" w:color="ED7D31" w:themeColor="accent2" w:sz="4" w:space="0"/>
              <w:insideH w:val="single" w:sz="4" w:space="0"/>
              <w:insideV w:val="nil"/>
            </w:tcBorders>
            <w:shd w:val="clear" w:color="auto" w:fill="ED7D31" w:themeFill="accent2"/>
            <w:vAlign w:val="center"/>
          </w:tcPr>
          <w:p>
            <w:pPr>
              <w:widowControl/>
              <w:jc w:val="center"/>
              <w:rPr>
                <w:rFonts w:cs="宋体" w:asciiTheme="minorEastAsia" w:hAnsiTheme="minorEastAsia"/>
                <w:b/>
                <w:bCs/>
                <w:color w:val="FFFFFF" w:themeColor="background1"/>
                <w:kern w:val="0"/>
                <w:sz w:val="18"/>
                <w:szCs w:val="18"/>
                <w14:textFill>
                  <w14:solidFill>
                    <w14:schemeClr w14:val="bg1"/>
                  </w14:solidFill>
                </w14:textFill>
              </w:rPr>
            </w:pPr>
            <w:r>
              <w:rPr>
                <w:rFonts w:hint="eastAsia" w:cs="宋体" w:asciiTheme="minorEastAsia" w:hAnsiTheme="minorEastAsia"/>
                <w:b/>
                <w:bCs/>
                <w:color w:val="FFFFFF" w:themeColor="background1"/>
                <w:kern w:val="0"/>
                <w:sz w:val="18"/>
                <w:szCs w:val="18"/>
                <w14:textFill>
                  <w14:solidFill>
                    <w14:schemeClr w14:val="bg1"/>
                  </w14:solidFill>
                </w14:textFill>
              </w:rPr>
              <w:t>平均得分</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836" w:type="dxa"/>
            <w:shd w:val="clear" w:color="auto" w:fill="FBE4D5" w:themeFill="accent2" w:themeFillTint="33"/>
            <w:vAlign w:val="center"/>
          </w:tcPr>
          <w:p>
            <w:pPr>
              <w:widowControl/>
              <w:jc w:val="center"/>
              <w:rPr>
                <w:rFonts w:cs="宋体" w:asciiTheme="minorEastAsia" w:hAnsiTheme="minorEastAsia"/>
                <w:b w:val="0"/>
                <w:bCs/>
                <w:color w:val="000000"/>
                <w:kern w:val="0"/>
                <w:sz w:val="18"/>
                <w:szCs w:val="18"/>
              </w:rPr>
            </w:pPr>
            <w:r>
              <w:rPr>
                <w:rFonts w:hint="eastAsia" w:cs="宋体" w:asciiTheme="minorEastAsia" w:hAnsiTheme="minorEastAsia"/>
                <w:b w:val="0"/>
                <w:bCs/>
                <w:color w:val="000000"/>
                <w:kern w:val="0"/>
                <w:sz w:val="18"/>
                <w:szCs w:val="18"/>
              </w:rPr>
              <w:t>财政学</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97.62</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3.88</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97.62</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4.02</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90.48</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3.74</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95.24</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3.81</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95.24</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3.83</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836" w:type="dxa"/>
            <w:vAlign w:val="center"/>
          </w:tcPr>
          <w:p>
            <w:pPr>
              <w:widowControl/>
              <w:jc w:val="center"/>
              <w:rPr>
                <w:rFonts w:cs="宋体" w:asciiTheme="minorEastAsia" w:hAnsiTheme="minorEastAsia"/>
                <w:b w:val="0"/>
                <w:bCs/>
                <w:color w:val="000000"/>
                <w:kern w:val="0"/>
                <w:sz w:val="18"/>
                <w:szCs w:val="18"/>
              </w:rPr>
            </w:pPr>
            <w:r>
              <w:rPr>
                <w:rFonts w:hint="eastAsia" w:cs="宋体" w:asciiTheme="minorEastAsia" w:hAnsiTheme="minorEastAsia"/>
                <w:b w:val="0"/>
                <w:bCs/>
                <w:color w:val="000000"/>
                <w:kern w:val="0"/>
                <w:sz w:val="18"/>
                <w:szCs w:val="18"/>
              </w:rPr>
              <w:t>汉语言文学</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97.56</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3.88</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100.00</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4.20</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80.49</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3.61</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90.24</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3.78</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92.68</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3.88</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836" w:type="dxa"/>
            <w:shd w:val="clear" w:color="auto" w:fill="FBE4D5" w:themeFill="accent2" w:themeFillTint="33"/>
            <w:vAlign w:val="center"/>
          </w:tcPr>
          <w:p>
            <w:pPr>
              <w:widowControl/>
              <w:jc w:val="center"/>
              <w:rPr>
                <w:rFonts w:cs="宋体" w:asciiTheme="minorEastAsia" w:hAnsiTheme="minorEastAsia"/>
                <w:b w:val="0"/>
                <w:bCs/>
                <w:color w:val="000000"/>
                <w:kern w:val="0"/>
                <w:sz w:val="18"/>
                <w:szCs w:val="18"/>
              </w:rPr>
            </w:pPr>
            <w:r>
              <w:rPr>
                <w:rFonts w:hint="eastAsia" w:cs="宋体" w:asciiTheme="minorEastAsia" w:hAnsiTheme="minorEastAsia"/>
                <w:b w:val="0"/>
                <w:bCs/>
                <w:color w:val="000000"/>
                <w:kern w:val="0"/>
                <w:sz w:val="18"/>
                <w:szCs w:val="18"/>
              </w:rPr>
              <w:t>工商管理</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97.22</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3.63</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91.67</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3.53</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83.33</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3.47</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88.89</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3.49</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93.06</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3.65</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836" w:type="dxa"/>
            <w:vAlign w:val="center"/>
          </w:tcPr>
          <w:p>
            <w:pPr>
              <w:widowControl/>
              <w:jc w:val="center"/>
              <w:rPr>
                <w:rFonts w:cs="宋体" w:asciiTheme="minorEastAsia" w:hAnsiTheme="minorEastAsia"/>
                <w:b w:val="0"/>
                <w:bCs/>
                <w:color w:val="000000"/>
                <w:kern w:val="0"/>
                <w:sz w:val="18"/>
                <w:szCs w:val="18"/>
              </w:rPr>
            </w:pPr>
            <w:r>
              <w:rPr>
                <w:rFonts w:hint="eastAsia" w:cs="宋体" w:asciiTheme="minorEastAsia" w:hAnsiTheme="minorEastAsia"/>
                <w:b w:val="0"/>
                <w:bCs/>
                <w:color w:val="000000"/>
                <w:kern w:val="0"/>
                <w:sz w:val="18"/>
                <w:szCs w:val="18"/>
              </w:rPr>
              <w:t>会计</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97.06</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3.96</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100.00</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4.09</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93.14</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3.82</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95.10</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3.90</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96.08</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3.93</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836" w:type="dxa"/>
            <w:shd w:val="clear" w:color="auto" w:fill="FBE4D5" w:themeFill="accent2" w:themeFillTint="33"/>
            <w:vAlign w:val="center"/>
          </w:tcPr>
          <w:p>
            <w:pPr>
              <w:widowControl/>
              <w:jc w:val="center"/>
              <w:rPr>
                <w:rFonts w:cs="宋体" w:asciiTheme="minorEastAsia" w:hAnsiTheme="minorEastAsia"/>
                <w:b w:val="0"/>
                <w:bCs/>
                <w:color w:val="000000"/>
                <w:kern w:val="0"/>
                <w:sz w:val="18"/>
                <w:szCs w:val="18"/>
              </w:rPr>
            </w:pPr>
            <w:r>
              <w:rPr>
                <w:rFonts w:hint="eastAsia" w:cs="宋体" w:asciiTheme="minorEastAsia" w:hAnsiTheme="minorEastAsia"/>
                <w:b w:val="0"/>
                <w:bCs/>
                <w:color w:val="000000"/>
                <w:kern w:val="0"/>
                <w:sz w:val="18"/>
                <w:szCs w:val="18"/>
              </w:rPr>
              <w:t>人力资源管理</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97.06</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3.63</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97.06</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3.71</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86.76</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3.44</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94.12</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3.49</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95.59</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3.56</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836" w:type="dxa"/>
            <w:vAlign w:val="center"/>
          </w:tcPr>
          <w:p>
            <w:pPr>
              <w:widowControl/>
              <w:jc w:val="center"/>
              <w:rPr>
                <w:rFonts w:cs="宋体" w:asciiTheme="minorEastAsia" w:hAnsiTheme="minorEastAsia"/>
                <w:b w:val="0"/>
                <w:bCs/>
                <w:color w:val="000000"/>
                <w:kern w:val="0"/>
                <w:sz w:val="18"/>
                <w:szCs w:val="18"/>
              </w:rPr>
            </w:pPr>
            <w:r>
              <w:rPr>
                <w:rFonts w:hint="eastAsia" w:cs="宋体" w:asciiTheme="minorEastAsia" w:hAnsiTheme="minorEastAsia"/>
                <w:b w:val="0"/>
                <w:bCs/>
                <w:color w:val="000000"/>
                <w:kern w:val="0"/>
                <w:sz w:val="18"/>
                <w:szCs w:val="18"/>
              </w:rPr>
              <w:t>贸易经济</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96.67</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3.70</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96.67</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3.77</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73.33</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3.40</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86.67</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3.47</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93.33</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3.70</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836" w:type="dxa"/>
            <w:shd w:val="clear" w:color="auto" w:fill="FBE4D5" w:themeFill="accent2" w:themeFillTint="33"/>
            <w:vAlign w:val="center"/>
          </w:tcPr>
          <w:p>
            <w:pPr>
              <w:widowControl/>
              <w:jc w:val="center"/>
              <w:rPr>
                <w:rFonts w:cs="宋体" w:asciiTheme="minorEastAsia" w:hAnsiTheme="minorEastAsia"/>
                <w:b w:val="0"/>
                <w:bCs/>
                <w:color w:val="000000"/>
                <w:kern w:val="0"/>
                <w:sz w:val="18"/>
                <w:szCs w:val="18"/>
              </w:rPr>
            </w:pPr>
            <w:r>
              <w:rPr>
                <w:rFonts w:hint="eastAsia" w:cs="宋体" w:asciiTheme="minorEastAsia" w:hAnsiTheme="minorEastAsia"/>
                <w:b w:val="0"/>
                <w:bCs/>
                <w:color w:val="000000"/>
                <w:kern w:val="0"/>
                <w:sz w:val="18"/>
                <w:szCs w:val="18"/>
              </w:rPr>
              <w:t>经济学</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95.65</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3.70</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95.65</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3.83</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95.65</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3.70</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100.00</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3.70</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95.65</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3.78</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836" w:type="dxa"/>
            <w:vAlign w:val="center"/>
          </w:tcPr>
          <w:p>
            <w:pPr>
              <w:widowControl/>
              <w:jc w:val="center"/>
              <w:rPr>
                <w:rFonts w:cs="宋体" w:asciiTheme="minorEastAsia" w:hAnsiTheme="minorEastAsia"/>
                <w:b w:val="0"/>
                <w:bCs/>
                <w:color w:val="000000"/>
                <w:kern w:val="0"/>
                <w:sz w:val="18"/>
                <w:szCs w:val="18"/>
              </w:rPr>
            </w:pPr>
            <w:r>
              <w:rPr>
                <w:rFonts w:hint="eastAsia" w:cs="宋体" w:asciiTheme="minorEastAsia" w:hAnsiTheme="minorEastAsia"/>
                <w:b w:val="0"/>
                <w:bCs/>
                <w:color w:val="000000"/>
                <w:kern w:val="0"/>
                <w:sz w:val="18"/>
                <w:szCs w:val="18"/>
              </w:rPr>
              <w:t>物流管理</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95.33</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3.93</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96.26</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3.81</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85.05</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3.66</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92.52</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3.83</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93.46</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3.90</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836" w:type="dxa"/>
            <w:shd w:val="clear" w:color="auto" w:fill="FBE4D5" w:themeFill="accent2" w:themeFillTint="33"/>
            <w:vAlign w:val="center"/>
          </w:tcPr>
          <w:p>
            <w:pPr>
              <w:widowControl/>
              <w:jc w:val="center"/>
              <w:rPr>
                <w:rFonts w:cs="宋体" w:asciiTheme="minorEastAsia" w:hAnsiTheme="minorEastAsia"/>
                <w:b w:val="0"/>
                <w:bCs/>
                <w:color w:val="000000"/>
                <w:kern w:val="0"/>
                <w:sz w:val="18"/>
                <w:szCs w:val="18"/>
              </w:rPr>
            </w:pPr>
            <w:r>
              <w:rPr>
                <w:rFonts w:hint="eastAsia" w:cs="宋体" w:asciiTheme="minorEastAsia" w:hAnsiTheme="minorEastAsia"/>
                <w:b w:val="0"/>
                <w:bCs/>
                <w:color w:val="000000"/>
                <w:kern w:val="0"/>
                <w:sz w:val="18"/>
                <w:szCs w:val="18"/>
              </w:rPr>
              <w:t>英语</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95.24</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3.73</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95.24</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3.83</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79.76</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3.42</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94.05</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3.67</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94.05</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3.67</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836" w:type="dxa"/>
            <w:vAlign w:val="center"/>
          </w:tcPr>
          <w:p>
            <w:pPr>
              <w:widowControl/>
              <w:jc w:val="center"/>
              <w:rPr>
                <w:rFonts w:cs="宋体" w:asciiTheme="minorEastAsia" w:hAnsiTheme="minorEastAsia"/>
                <w:b w:val="0"/>
                <w:bCs/>
                <w:color w:val="000000"/>
                <w:kern w:val="0"/>
                <w:sz w:val="18"/>
                <w:szCs w:val="18"/>
              </w:rPr>
            </w:pPr>
            <w:r>
              <w:rPr>
                <w:rFonts w:hint="eastAsia" w:cs="宋体" w:asciiTheme="minorEastAsia" w:hAnsiTheme="minorEastAsia"/>
                <w:b w:val="0"/>
                <w:bCs/>
                <w:color w:val="000000"/>
                <w:kern w:val="0"/>
                <w:sz w:val="18"/>
                <w:szCs w:val="18"/>
              </w:rPr>
              <w:t>软件工程</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93.94</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3.58</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90.91</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3.42</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87.88</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3.45</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87.88</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3.58</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87.88</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3.52</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836" w:type="dxa"/>
            <w:shd w:val="clear" w:color="auto" w:fill="FBE4D5" w:themeFill="accent2" w:themeFillTint="33"/>
            <w:vAlign w:val="center"/>
          </w:tcPr>
          <w:p>
            <w:pPr>
              <w:widowControl/>
              <w:jc w:val="center"/>
              <w:rPr>
                <w:rFonts w:cs="宋体" w:asciiTheme="minorEastAsia" w:hAnsiTheme="minorEastAsia"/>
                <w:b w:val="0"/>
                <w:bCs/>
                <w:color w:val="000000"/>
                <w:kern w:val="0"/>
                <w:sz w:val="18"/>
                <w:szCs w:val="18"/>
              </w:rPr>
            </w:pPr>
            <w:r>
              <w:rPr>
                <w:rFonts w:hint="eastAsia" w:cs="宋体" w:asciiTheme="minorEastAsia" w:hAnsiTheme="minorEastAsia"/>
                <w:b w:val="0"/>
                <w:bCs/>
                <w:color w:val="000000"/>
                <w:kern w:val="0"/>
                <w:sz w:val="18"/>
                <w:szCs w:val="18"/>
              </w:rPr>
              <w:t>广告学</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93.75</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3.81</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100.00</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3.94</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81.25</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3.50</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87.50</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3.69</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100.00</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3.81</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836" w:type="dxa"/>
            <w:vAlign w:val="center"/>
          </w:tcPr>
          <w:p>
            <w:pPr>
              <w:widowControl/>
              <w:jc w:val="center"/>
              <w:rPr>
                <w:rFonts w:cs="宋体" w:asciiTheme="minorEastAsia" w:hAnsiTheme="minorEastAsia"/>
                <w:b w:val="0"/>
                <w:bCs/>
                <w:color w:val="000000"/>
                <w:kern w:val="0"/>
                <w:sz w:val="18"/>
                <w:szCs w:val="18"/>
              </w:rPr>
            </w:pPr>
            <w:r>
              <w:rPr>
                <w:rFonts w:hint="eastAsia" w:cs="宋体" w:asciiTheme="minorEastAsia" w:hAnsiTheme="minorEastAsia"/>
                <w:b w:val="0"/>
                <w:bCs/>
                <w:color w:val="000000"/>
                <w:kern w:val="0"/>
                <w:sz w:val="18"/>
                <w:szCs w:val="18"/>
              </w:rPr>
              <w:t>信息管理与信息系统</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93.33</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3.95</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96.67</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4.02</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86.67</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3.70</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90.00</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3.75</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90.00</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3.68</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836" w:type="dxa"/>
            <w:shd w:val="clear" w:color="auto" w:fill="FBE4D5" w:themeFill="accent2" w:themeFillTint="33"/>
            <w:vAlign w:val="center"/>
          </w:tcPr>
          <w:p>
            <w:pPr>
              <w:widowControl/>
              <w:jc w:val="center"/>
              <w:rPr>
                <w:rFonts w:cs="宋体" w:asciiTheme="minorEastAsia" w:hAnsiTheme="minorEastAsia"/>
                <w:b w:val="0"/>
                <w:bCs/>
                <w:color w:val="000000"/>
                <w:kern w:val="0"/>
                <w:sz w:val="18"/>
                <w:szCs w:val="18"/>
              </w:rPr>
            </w:pPr>
            <w:r>
              <w:rPr>
                <w:rFonts w:hint="eastAsia" w:cs="宋体" w:asciiTheme="minorEastAsia" w:hAnsiTheme="minorEastAsia"/>
                <w:b w:val="0"/>
                <w:bCs/>
                <w:color w:val="000000"/>
                <w:kern w:val="0"/>
                <w:sz w:val="18"/>
                <w:szCs w:val="18"/>
              </w:rPr>
              <w:t>法学</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92.54</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3.67</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97.01</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3.84</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89.55</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3.70</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89.55</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3.69</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94.03</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3.76</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836" w:type="dxa"/>
            <w:vAlign w:val="center"/>
          </w:tcPr>
          <w:p>
            <w:pPr>
              <w:widowControl/>
              <w:jc w:val="center"/>
              <w:rPr>
                <w:rFonts w:cs="宋体" w:asciiTheme="minorEastAsia" w:hAnsiTheme="minorEastAsia"/>
                <w:b w:val="0"/>
                <w:bCs/>
                <w:color w:val="000000"/>
                <w:kern w:val="0"/>
                <w:sz w:val="18"/>
                <w:szCs w:val="18"/>
              </w:rPr>
            </w:pPr>
            <w:r>
              <w:rPr>
                <w:rFonts w:hint="eastAsia" w:cs="宋体" w:asciiTheme="minorEastAsia" w:hAnsiTheme="minorEastAsia"/>
                <w:b w:val="0"/>
                <w:bCs/>
                <w:color w:val="000000"/>
                <w:kern w:val="0"/>
                <w:sz w:val="18"/>
                <w:szCs w:val="18"/>
              </w:rPr>
              <w:t>工程管理</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92.50</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3.98</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95.00</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4.13</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77.50</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3.85</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90.00</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4.18</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90.00</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4.05</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836" w:type="dxa"/>
            <w:shd w:val="clear" w:color="auto" w:fill="FBE4D5" w:themeFill="accent2" w:themeFillTint="33"/>
            <w:vAlign w:val="center"/>
          </w:tcPr>
          <w:p>
            <w:pPr>
              <w:widowControl/>
              <w:jc w:val="center"/>
              <w:rPr>
                <w:rFonts w:cs="宋体" w:asciiTheme="minorEastAsia" w:hAnsiTheme="minorEastAsia"/>
                <w:b w:val="0"/>
                <w:bCs/>
                <w:color w:val="000000"/>
                <w:kern w:val="0"/>
                <w:sz w:val="18"/>
                <w:szCs w:val="18"/>
              </w:rPr>
            </w:pPr>
            <w:r>
              <w:rPr>
                <w:rFonts w:hint="eastAsia" w:cs="宋体" w:asciiTheme="minorEastAsia" w:hAnsiTheme="minorEastAsia"/>
                <w:b w:val="0"/>
                <w:bCs/>
                <w:color w:val="000000"/>
                <w:kern w:val="0"/>
                <w:sz w:val="18"/>
                <w:szCs w:val="18"/>
              </w:rPr>
              <w:t>编辑出版学</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91.67</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3.21</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95.83</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3.50</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87.50</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3.50</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87.50</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3.33</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62.50</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2.79</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836" w:type="dxa"/>
            <w:vAlign w:val="center"/>
          </w:tcPr>
          <w:p>
            <w:pPr>
              <w:widowControl/>
              <w:jc w:val="center"/>
              <w:rPr>
                <w:rFonts w:cs="宋体" w:asciiTheme="minorEastAsia" w:hAnsiTheme="minorEastAsia"/>
                <w:b w:val="0"/>
                <w:bCs/>
                <w:color w:val="000000"/>
                <w:kern w:val="0"/>
                <w:sz w:val="18"/>
                <w:szCs w:val="18"/>
              </w:rPr>
            </w:pPr>
            <w:r>
              <w:rPr>
                <w:rFonts w:hint="eastAsia" w:cs="宋体" w:asciiTheme="minorEastAsia" w:hAnsiTheme="minorEastAsia"/>
                <w:b w:val="0"/>
                <w:bCs/>
                <w:color w:val="000000"/>
                <w:kern w:val="0"/>
                <w:sz w:val="18"/>
                <w:szCs w:val="18"/>
              </w:rPr>
              <w:t>信息与计算科学</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91.67</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3.79</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91.67</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3.75</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79.17</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3.63</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79.17</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3.63</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79.17</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3.63</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836" w:type="dxa"/>
            <w:shd w:val="clear" w:color="auto" w:fill="FBE4D5" w:themeFill="accent2" w:themeFillTint="33"/>
            <w:vAlign w:val="center"/>
          </w:tcPr>
          <w:p>
            <w:pPr>
              <w:widowControl/>
              <w:jc w:val="center"/>
              <w:rPr>
                <w:rFonts w:cs="宋体" w:asciiTheme="minorEastAsia" w:hAnsiTheme="minorEastAsia"/>
                <w:b w:val="0"/>
                <w:bCs/>
                <w:color w:val="000000"/>
                <w:kern w:val="0"/>
                <w:sz w:val="18"/>
                <w:szCs w:val="18"/>
              </w:rPr>
            </w:pPr>
            <w:r>
              <w:rPr>
                <w:rFonts w:hint="eastAsia" w:cs="宋体" w:asciiTheme="minorEastAsia" w:hAnsiTheme="minorEastAsia"/>
                <w:b w:val="0"/>
                <w:bCs/>
                <w:color w:val="000000"/>
                <w:kern w:val="0"/>
                <w:sz w:val="18"/>
                <w:szCs w:val="18"/>
              </w:rPr>
              <w:t>金融学</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91.09</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3.60</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92.25</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3.72</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82.17</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3.47</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91.09</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3.59</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93.02</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3.69</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836" w:type="dxa"/>
            <w:vAlign w:val="center"/>
          </w:tcPr>
          <w:p>
            <w:pPr>
              <w:widowControl/>
              <w:jc w:val="center"/>
              <w:rPr>
                <w:rFonts w:cs="宋体" w:asciiTheme="minorEastAsia" w:hAnsiTheme="minorEastAsia"/>
                <w:b w:val="0"/>
                <w:bCs/>
                <w:color w:val="000000"/>
                <w:kern w:val="0"/>
                <w:sz w:val="18"/>
                <w:szCs w:val="18"/>
              </w:rPr>
            </w:pPr>
            <w:r>
              <w:rPr>
                <w:rFonts w:hint="eastAsia" w:cs="宋体" w:asciiTheme="minorEastAsia" w:hAnsiTheme="minorEastAsia"/>
                <w:b w:val="0"/>
                <w:bCs/>
                <w:color w:val="000000"/>
                <w:kern w:val="0"/>
                <w:sz w:val="18"/>
                <w:szCs w:val="18"/>
              </w:rPr>
              <w:t>电子商务</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90.91</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3.55</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100.00</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3.86</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90.91</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3.64</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77.27</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3.23</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90.91</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3.50</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836" w:type="dxa"/>
            <w:shd w:val="clear" w:color="auto" w:fill="FBE4D5" w:themeFill="accent2" w:themeFillTint="33"/>
            <w:vAlign w:val="center"/>
          </w:tcPr>
          <w:p>
            <w:pPr>
              <w:widowControl/>
              <w:jc w:val="center"/>
              <w:rPr>
                <w:rFonts w:cs="宋体" w:asciiTheme="minorEastAsia" w:hAnsiTheme="minorEastAsia"/>
                <w:b w:val="0"/>
                <w:bCs/>
                <w:color w:val="000000"/>
                <w:kern w:val="0"/>
                <w:sz w:val="18"/>
                <w:szCs w:val="18"/>
              </w:rPr>
            </w:pPr>
            <w:r>
              <w:rPr>
                <w:rFonts w:hint="eastAsia" w:cs="宋体" w:asciiTheme="minorEastAsia" w:hAnsiTheme="minorEastAsia"/>
                <w:b w:val="0"/>
                <w:bCs/>
                <w:color w:val="000000"/>
                <w:kern w:val="0"/>
                <w:sz w:val="18"/>
                <w:szCs w:val="18"/>
              </w:rPr>
              <w:t>数学与应用数学</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90.63</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3.69</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100.00</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4.00</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93.75</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3.47</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84.38</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3.50</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90.63</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3.56</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836" w:type="dxa"/>
            <w:vAlign w:val="center"/>
          </w:tcPr>
          <w:p>
            <w:pPr>
              <w:widowControl/>
              <w:jc w:val="center"/>
              <w:rPr>
                <w:rFonts w:cs="宋体" w:asciiTheme="minorEastAsia" w:hAnsiTheme="minorEastAsia"/>
                <w:b w:val="0"/>
                <w:bCs/>
                <w:color w:val="000000"/>
                <w:kern w:val="0"/>
                <w:sz w:val="18"/>
                <w:szCs w:val="18"/>
              </w:rPr>
            </w:pPr>
            <w:r>
              <w:rPr>
                <w:rFonts w:hint="eastAsia" w:cs="宋体" w:asciiTheme="minorEastAsia" w:hAnsiTheme="minorEastAsia"/>
                <w:b w:val="0"/>
                <w:bCs/>
                <w:color w:val="000000"/>
                <w:kern w:val="0"/>
                <w:sz w:val="18"/>
                <w:szCs w:val="18"/>
              </w:rPr>
              <w:t>财务管理</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89.86</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3.55</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91.30</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3.62</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78.99</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3.40</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85.51</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3.47</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92.03</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3.67</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836" w:type="dxa"/>
            <w:shd w:val="clear" w:color="auto" w:fill="FBE4D5" w:themeFill="accent2" w:themeFillTint="33"/>
            <w:vAlign w:val="center"/>
          </w:tcPr>
          <w:p>
            <w:pPr>
              <w:widowControl/>
              <w:jc w:val="center"/>
              <w:rPr>
                <w:rFonts w:cs="宋体" w:asciiTheme="minorEastAsia" w:hAnsiTheme="minorEastAsia"/>
                <w:b w:val="0"/>
                <w:bCs/>
                <w:color w:val="000000"/>
                <w:kern w:val="0"/>
                <w:sz w:val="18"/>
                <w:szCs w:val="18"/>
              </w:rPr>
            </w:pPr>
            <w:r>
              <w:rPr>
                <w:rFonts w:hint="eastAsia" w:cs="宋体" w:asciiTheme="minorEastAsia" w:hAnsiTheme="minorEastAsia"/>
                <w:b w:val="0"/>
                <w:bCs/>
                <w:color w:val="000000"/>
                <w:kern w:val="0"/>
                <w:sz w:val="18"/>
                <w:szCs w:val="18"/>
              </w:rPr>
              <w:t>会计学</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89.72</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3.61</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92.99</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3.74</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83.18</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3.52</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88.79</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3.54</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92.52</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3.71</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836" w:type="dxa"/>
            <w:vAlign w:val="center"/>
          </w:tcPr>
          <w:p>
            <w:pPr>
              <w:widowControl/>
              <w:jc w:val="center"/>
              <w:rPr>
                <w:rFonts w:cs="宋体" w:asciiTheme="minorEastAsia" w:hAnsiTheme="minorEastAsia"/>
                <w:b w:val="0"/>
                <w:bCs/>
                <w:color w:val="000000"/>
                <w:kern w:val="0"/>
                <w:sz w:val="18"/>
                <w:szCs w:val="18"/>
              </w:rPr>
            </w:pPr>
            <w:r>
              <w:rPr>
                <w:rFonts w:hint="eastAsia" w:cs="宋体" w:asciiTheme="minorEastAsia" w:hAnsiTheme="minorEastAsia"/>
                <w:b w:val="0"/>
                <w:bCs/>
                <w:color w:val="000000"/>
                <w:kern w:val="0"/>
                <w:sz w:val="18"/>
                <w:szCs w:val="18"/>
              </w:rPr>
              <w:t>市场营销</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87.16</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3.46</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92.57</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3.55</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81.08</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3.38</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91.89</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3.55</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91.22</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3.58</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836" w:type="dxa"/>
            <w:shd w:val="clear" w:color="auto" w:fill="FBE4D5" w:themeFill="accent2" w:themeFillTint="33"/>
            <w:vAlign w:val="center"/>
          </w:tcPr>
          <w:p>
            <w:pPr>
              <w:widowControl/>
              <w:jc w:val="center"/>
              <w:rPr>
                <w:rFonts w:cs="宋体" w:asciiTheme="minorEastAsia" w:hAnsiTheme="minorEastAsia"/>
                <w:b w:val="0"/>
                <w:bCs/>
                <w:color w:val="000000"/>
                <w:kern w:val="0"/>
                <w:sz w:val="18"/>
                <w:szCs w:val="18"/>
              </w:rPr>
            </w:pPr>
            <w:r>
              <w:rPr>
                <w:rFonts w:hint="eastAsia" w:cs="宋体" w:asciiTheme="minorEastAsia" w:hAnsiTheme="minorEastAsia"/>
                <w:b w:val="0"/>
                <w:bCs/>
                <w:color w:val="000000"/>
                <w:kern w:val="0"/>
                <w:sz w:val="18"/>
                <w:szCs w:val="18"/>
              </w:rPr>
              <w:t>国际经济与贸易</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86.57</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3.48</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95.52</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3.64</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74.63</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3.37</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77.61</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3.37</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88.06</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3.57</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836" w:type="dxa"/>
            <w:vAlign w:val="center"/>
          </w:tcPr>
          <w:p>
            <w:pPr>
              <w:widowControl/>
              <w:jc w:val="center"/>
              <w:rPr>
                <w:rFonts w:cs="宋体" w:asciiTheme="minorEastAsia" w:hAnsiTheme="minorEastAsia"/>
                <w:b w:val="0"/>
                <w:bCs/>
                <w:color w:val="000000"/>
                <w:kern w:val="0"/>
                <w:sz w:val="18"/>
                <w:szCs w:val="18"/>
              </w:rPr>
            </w:pPr>
            <w:r>
              <w:rPr>
                <w:rFonts w:hint="eastAsia" w:cs="宋体" w:asciiTheme="minorEastAsia" w:hAnsiTheme="minorEastAsia"/>
                <w:b w:val="0"/>
                <w:bCs/>
                <w:color w:val="000000"/>
                <w:kern w:val="0"/>
                <w:sz w:val="18"/>
                <w:szCs w:val="18"/>
              </w:rPr>
              <w:t>商务英语</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85.71</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3.38</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85.71</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3.50</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69.64</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3.11</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71.43</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3.18</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83.93</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3.30</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836" w:type="dxa"/>
            <w:shd w:val="clear" w:color="auto" w:fill="FBE4D5" w:themeFill="accent2" w:themeFillTint="33"/>
            <w:vAlign w:val="center"/>
          </w:tcPr>
          <w:p>
            <w:pPr>
              <w:widowControl/>
              <w:jc w:val="center"/>
              <w:rPr>
                <w:rFonts w:cs="宋体" w:asciiTheme="minorEastAsia" w:hAnsiTheme="minorEastAsia"/>
                <w:b w:val="0"/>
                <w:bCs/>
                <w:color w:val="000000"/>
                <w:kern w:val="0"/>
                <w:sz w:val="18"/>
                <w:szCs w:val="18"/>
              </w:rPr>
            </w:pPr>
            <w:r>
              <w:rPr>
                <w:rFonts w:hint="eastAsia" w:cs="宋体" w:asciiTheme="minorEastAsia" w:hAnsiTheme="minorEastAsia"/>
                <w:b w:val="0"/>
                <w:bCs/>
                <w:color w:val="000000"/>
                <w:kern w:val="0"/>
                <w:sz w:val="18"/>
                <w:szCs w:val="18"/>
              </w:rPr>
              <w:t>艺术设计</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85.71</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3.51</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88.57</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3.66</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88.57</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3.63</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80.00</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3.51</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88.57</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3.66</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836" w:type="dxa"/>
            <w:vAlign w:val="center"/>
          </w:tcPr>
          <w:p>
            <w:pPr>
              <w:widowControl/>
              <w:jc w:val="center"/>
              <w:rPr>
                <w:rFonts w:cs="宋体" w:asciiTheme="minorEastAsia" w:hAnsiTheme="minorEastAsia"/>
                <w:b w:val="0"/>
                <w:bCs/>
                <w:color w:val="000000"/>
                <w:kern w:val="0"/>
                <w:sz w:val="18"/>
                <w:szCs w:val="18"/>
              </w:rPr>
            </w:pPr>
            <w:r>
              <w:rPr>
                <w:rFonts w:hint="eastAsia" w:cs="宋体" w:asciiTheme="minorEastAsia" w:hAnsiTheme="minorEastAsia"/>
                <w:b w:val="0"/>
                <w:bCs/>
                <w:color w:val="000000"/>
                <w:kern w:val="0"/>
                <w:sz w:val="18"/>
                <w:szCs w:val="18"/>
              </w:rPr>
              <w:t>计算机科学与技术</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84.93</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3.45</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87.67</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3.58</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83.56</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3.42</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84.93</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3.44</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83.56</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3.51</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836" w:type="dxa"/>
            <w:shd w:val="clear" w:color="auto" w:fill="FBE4D5" w:themeFill="accent2" w:themeFillTint="33"/>
            <w:vAlign w:val="center"/>
          </w:tcPr>
          <w:p>
            <w:pPr>
              <w:widowControl/>
              <w:jc w:val="center"/>
              <w:rPr>
                <w:rFonts w:cs="宋体" w:asciiTheme="minorEastAsia" w:hAnsiTheme="minorEastAsia"/>
                <w:b w:val="0"/>
                <w:bCs/>
                <w:color w:val="000000"/>
                <w:kern w:val="0"/>
                <w:sz w:val="18"/>
                <w:szCs w:val="18"/>
              </w:rPr>
            </w:pPr>
            <w:r>
              <w:rPr>
                <w:rFonts w:hint="eastAsia" w:cs="宋体" w:asciiTheme="minorEastAsia" w:hAnsiTheme="minorEastAsia"/>
                <w:b w:val="0"/>
                <w:bCs/>
                <w:color w:val="000000"/>
                <w:kern w:val="0"/>
                <w:sz w:val="18"/>
                <w:szCs w:val="18"/>
              </w:rPr>
              <w:t>行政管理</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84.62</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3.31</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89.74</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3.62</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74.36</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3.21</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76.92</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3.15</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82.05</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3.23</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836" w:type="dxa"/>
            <w:vAlign w:val="center"/>
          </w:tcPr>
          <w:p>
            <w:pPr>
              <w:widowControl/>
              <w:jc w:val="center"/>
              <w:rPr>
                <w:rFonts w:cs="宋体" w:asciiTheme="minorEastAsia" w:hAnsiTheme="minorEastAsia"/>
                <w:b w:val="0"/>
                <w:bCs/>
                <w:color w:val="000000"/>
                <w:kern w:val="0"/>
                <w:sz w:val="18"/>
                <w:szCs w:val="18"/>
              </w:rPr>
            </w:pPr>
            <w:r>
              <w:rPr>
                <w:rFonts w:hint="eastAsia" w:cs="宋体" w:asciiTheme="minorEastAsia" w:hAnsiTheme="minorEastAsia"/>
                <w:b w:val="0"/>
                <w:bCs/>
                <w:color w:val="000000"/>
                <w:kern w:val="0"/>
                <w:sz w:val="18"/>
                <w:szCs w:val="18"/>
              </w:rPr>
              <w:t>统计学</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82.86</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3.34</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88.57</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3.43</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71.43</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3.11</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80.00</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3.20</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88.57</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3.49</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836" w:type="dxa"/>
            <w:shd w:val="clear" w:color="auto" w:fill="FBE4D5" w:themeFill="accent2" w:themeFillTint="33"/>
            <w:vAlign w:val="center"/>
          </w:tcPr>
          <w:p>
            <w:pPr>
              <w:widowControl/>
              <w:jc w:val="center"/>
              <w:rPr>
                <w:rFonts w:cs="宋体" w:asciiTheme="minorEastAsia" w:hAnsiTheme="minorEastAsia"/>
                <w:b w:val="0"/>
                <w:bCs/>
                <w:color w:val="000000"/>
                <w:kern w:val="0"/>
                <w:sz w:val="18"/>
                <w:szCs w:val="18"/>
              </w:rPr>
            </w:pPr>
            <w:r>
              <w:rPr>
                <w:rFonts w:hint="eastAsia" w:cs="宋体" w:asciiTheme="minorEastAsia" w:hAnsiTheme="minorEastAsia"/>
                <w:b w:val="0"/>
                <w:bCs/>
                <w:color w:val="000000"/>
                <w:kern w:val="0"/>
                <w:sz w:val="18"/>
                <w:szCs w:val="18"/>
              </w:rPr>
              <w:t>保险</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82.14</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3.57</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89.29</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3.71</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75.00</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3.32</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92.86</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3.61</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89.29</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3.57</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836" w:type="dxa"/>
            <w:vAlign w:val="center"/>
          </w:tcPr>
          <w:p>
            <w:pPr>
              <w:widowControl/>
              <w:jc w:val="center"/>
              <w:rPr>
                <w:rFonts w:cs="宋体" w:asciiTheme="minorEastAsia" w:hAnsiTheme="minorEastAsia"/>
                <w:b w:val="0"/>
                <w:bCs/>
                <w:color w:val="000000"/>
                <w:kern w:val="0"/>
                <w:sz w:val="18"/>
                <w:szCs w:val="18"/>
              </w:rPr>
            </w:pPr>
            <w:r>
              <w:rPr>
                <w:rFonts w:hint="eastAsia" w:cs="宋体" w:asciiTheme="minorEastAsia" w:hAnsiTheme="minorEastAsia"/>
                <w:b w:val="0"/>
                <w:bCs/>
                <w:color w:val="000000"/>
                <w:kern w:val="0"/>
                <w:sz w:val="18"/>
                <w:szCs w:val="18"/>
              </w:rPr>
              <w:t>电子信息工程</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80.91</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3.45</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85.45</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3.58</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75.45</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3.37</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77.27</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3.28</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80.91</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3.52</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836" w:type="dxa"/>
            <w:shd w:val="clear" w:color="auto" w:fill="FBE4D5" w:themeFill="accent2" w:themeFillTint="33"/>
            <w:vAlign w:val="center"/>
          </w:tcPr>
          <w:p>
            <w:pPr>
              <w:widowControl/>
              <w:jc w:val="center"/>
              <w:rPr>
                <w:rFonts w:cs="宋体" w:asciiTheme="minorEastAsia" w:hAnsiTheme="minorEastAsia"/>
                <w:b w:val="0"/>
                <w:bCs/>
                <w:color w:val="000000"/>
                <w:kern w:val="0"/>
                <w:sz w:val="18"/>
                <w:szCs w:val="18"/>
              </w:rPr>
            </w:pPr>
            <w:r>
              <w:rPr>
                <w:rFonts w:hint="eastAsia" w:cs="宋体" w:asciiTheme="minorEastAsia" w:hAnsiTheme="minorEastAsia"/>
                <w:b w:val="0"/>
                <w:bCs/>
                <w:color w:val="000000"/>
                <w:kern w:val="0"/>
                <w:sz w:val="18"/>
                <w:szCs w:val="18"/>
              </w:rPr>
              <w:t>会展经济与管理</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80.77</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3.27</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88.46</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3.38</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65.38</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3.08</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73.08</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3.12</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76.92</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3.27</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836" w:type="dxa"/>
            <w:vAlign w:val="center"/>
          </w:tcPr>
          <w:p>
            <w:pPr>
              <w:widowControl/>
              <w:jc w:val="center"/>
              <w:rPr>
                <w:rFonts w:cs="宋体" w:asciiTheme="minorEastAsia" w:hAnsiTheme="minorEastAsia"/>
                <w:b w:val="0"/>
                <w:bCs/>
                <w:color w:val="000000"/>
                <w:kern w:val="0"/>
                <w:sz w:val="18"/>
                <w:szCs w:val="18"/>
              </w:rPr>
            </w:pPr>
            <w:r>
              <w:rPr>
                <w:rFonts w:hint="eastAsia" w:cs="宋体" w:asciiTheme="minorEastAsia" w:hAnsiTheme="minorEastAsia"/>
                <w:b w:val="0"/>
                <w:bCs/>
                <w:color w:val="000000"/>
                <w:kern w:val="0"/>
                <w:sz w:val="18"/>
                <w:szCs w:val="18"/>
              </w:rPr>
              <w:t>审计学</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78.95</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3.16</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84.21</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3.32</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63.16</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2.89</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68.42</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2.95</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78.95</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3.21</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836" w:type="dxa"/>
            <w:shd w:val="clear" w:color="auto" w:fill="FBE4D5" w:themeFill="accent2" w:themeFillTint="33"/>
            <w:vAlign w:val="center"/>
          </w:tcPr>
          <w:p>
            <w:pPr>
              <w:widowControl/>
              <w:jc w:val="center"/>
              <w:rPr>
                <w:rFonts w:cs="宋体" w:asciiTheme="minorEastAsia" w:hAnsiTheme="minorEastAsia"/>
                <w:b w:val="0"/>
                <w:bCs/>
                <w:color w:val="000000"/>
                <w:kern w:val="0"/>
                <w:sz w:val="18"/>
                <w:szCs w:val="18"/>
              </w:rPr>
            </w:pPr>
            <w:r>
              <w:rPr>
                <w:rFonts w:hint="eastAsia" w:cs="宋体" w:asciiTheme="minorEastAsia" w:hAnsiTheme="minorEastAsia"/>
                <w:b w:val="0"/>
                <w:bCs/>
                <w:color w:val="000000"/>
                <w:kern w:val="0"/>
                <w:sz w:val="18"/>
                <w:szCs w:val="18"/>
              </w:rPr>
              <w:t>旅游管理</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76.92</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3.31</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92.31</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3.62</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69.23</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3.19</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76.92</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3.19</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92.31</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3.38</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836" w:type="dxa"/>
            <w:vAlign w:val="center"/>
          </w:tcPr>
          <w:p>
            <w:pPr>
              <w:widowControl/>
              <w:jc w:val="center"/>
              <w:rPr>
                <w:rFonts w:cs="宋体" w:asciiTheme="minorEastAsia" w:hAnsiTheme="minorEastAsia"/>
                <w:b w:val="0"/>
                <w:bCs/>
                <w:color w:val="000000"/>
                <w:kern w:val="0"/>
                <w:sz w:val="18"/>
                <w:szCs w:val="18"/>
              </w:rPr>
            </w:pPr>
            <w:r>
              <w:rPr>
                <w:rFonts w:hint="eastAsia" w:cs="宋体" w:asciiTheme="minorEastAsia" w:hAnsiTheme="minorEastAsia"/>
                <w:b w:val="0"/>
                <w:bCs/>
                <w:color w:val="000000"/>
                <w:kern w:val="0"/>
                <w:sz w:val="18"/>
                <w:szCs w:val="18"/>
              </w:rPr>
              <w:t>动画</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75.00</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3.50</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75.00</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3.50</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100.00</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3.75</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75.00</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3.50</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75.00</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3.25</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836" w:type="dxa"/>
            <w:shd w:val="clear" w:color="auto" w:fill="FBE4D5" w:themeFill="accent2" w:themeFillTint="33"/>
            <w:vAlign w:val="center"/>
          </w:tcPr>
          <w:p>
            <w:pPr>
              <w:widowControl/>
              <w:jc w:val="center"/>
              <w:rPr>
                <w:rFonts w:cs="宋体" w:asciiTheme="minorEastAsia" w:hAnsiTheme="minorEastAsia"/>
                <w:b w:val="0"/>
                <w:bCs/>
                <w:color w:val="000000"/>
                <w:kern w:val="0"/>
                <w:sz w:val="18"/>
                <w:szCs w:val="18"/>
              </w:rPr>
            </w:pPr>
            <w:r>
              <w:rPr>
                <w:rFonts w:hint="eastAsia" w:cs="宋体" w:asciiTheme="minorEastAsia" w:hAnsiTheme="minorEastAsia"/>
                <w:b w:val="0"/>
                <w:bCs/>
                <w:color w:val="000000"/>
                <w:kern w:val="0"/>
                <w:sz w:val="18"/>
                <w:szCs w:val="18"/>
              </w:rPr>
              <w:t>社会工作</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71.43</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2.81</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95.24</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3.38</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57.14</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2.76</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80.95</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3.05</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57.14</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2.57</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836" w:type="dxa"/>
            <w:vAlign w:val="center"/>
          </w:tcPr>
          <w:p>
            <w:pPr>
              <w:widowControl/>
              <w:jc w:val="center"/>
              <w:rPr>
                <w:rFonts w:cs="宋体" w:asciiTheme="minorEastAsia" w:hAnsiTheme="minorEastAsia"/>
                <w:b w:val="0"/>
                <w:bCs/>
                <w:color w:val="000000"/>
                <w:kern w:val="0"/>
                <w:sz w:val="18"/>
                <w:szCs w:val="18"/>
              </w:rPr>
            </w:pPr>
            <w:r>
              <w:rPr>
                <w:rFonts w:hint="eastAsia" w:cs="宋体" w:asciiTheme="minorEastAsia" w:hAnsiTheme="minorEastAsia"/>
                <w:b w:val="0"/>
                <w:bCs/>
                <w:color w:val="000000"/>
                <w:kern w:val="0"/>
                <w:sz w:val="18"/>
                <w:szCs w:val="18"/>
              </w:rPr>
              <w:t>文化产业管理</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66.67</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3.33</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83.33</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3.67</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66.67</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3.00</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50.00</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3.00</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83.33</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3.67</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836" w:type="dxa"/>
            <w:shd w:val="clear" w:color="auto" w:fill="FBE4D5" w:themeFill="accent2" w:themeFillTint="33"/>
            <w:vAlign w:val="center"/>
          </w:tcPr>
          <w:p>
            <w:pPr>
              <w:widowControl/>
              <w:jc w:val="center"/>
              <w:rPr>
                <w:rFonts w:cs="宋体" w:asciiTheme="minorEastAsia" w:hAnsiTheme="minorEastAsia"/>
                <w:b w:val="0"/>
                <w:bCs/>
                <w:color w:val="000000"/>
                <w:kern w:val="0"/>
                <w:sz w:val="18"/>
                <w:szCs w:val="18"/>
              </w:rPr>
            </w:pPr>
            <w:r>
              <w:rPr>
                <w:rFonts w:hint="eastAsia" w:cs="宋体" w:asciiTheme="minorEastAsia" w:hAnsiTheme="minorEastAsia"/>
                <w:b w:val="0"/>
                <w:bCs/>
                <w:color w:val="000000"/>
                <w:kern w:val="0"/>
                <w:sz w:val="18"/>
                <w:szCs w:val="18"/>
              </w:rPr>
              <w:t>酒店管理</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59.38</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2.88</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78.13</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3.31</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75.00</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3.22</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62.50</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2.81</w:t>
            </w:r>
          </w:p>
        </w:tc>
        <w:tc>
          <w:tcPr>
            <w:tcW w:w="75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68.75</w:t>
            </w:r>
          </w:p>
        </w:tc>
        <w:tc>
          <w:tcPr>
            <w:tcW w:w="939" w:type="dxa"/>
            <w:shd w:val="clear" w:color="auto" w:fill="FBE4D5" w:themeFill="accent2" w:themeFillTint="33"/>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3.03</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836" w:type="dxa"/>
            <w:vAlign w:val="center"/>
          </w:tcPr>
          <w:p>
            <w:pPr>
              <w:widowControl/>
              <w:jc w:val="center"/>
              <w:rPr>
                <w:rFonts w:cs="宋体" w:asciiTheme="minorEastAsia" w:hAnsiTheme="minorEastAsia"/>
                <w:b w:val="0"/>
                <w:bCs/>
                <w:color w:val="000000"/>
                <w:kern w:val="0"/>
                <w:sz w:val="18"/>
                <w:szCs w:val="18"/>
              </w:rPr>
            </w:pPr>
            <w:r>
              <w:rPr>
                <w:rFonts w:hint="eastAsia" w:cs="宋体" w:asciiTheme="minorEastAsia" w:hAnsiTheme="minorEastAsia"/>
                <w:b w:val="0"/>
                <w:bCs/>
                <w:color w:val="000000"/>
                <w:kern w:val="0"/>
                <w:sz w:val="18"/>
                <w:szCs w:val="18"/>
              </w:rPr>
              <w:t>总计</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89.65</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3.60</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92.89</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3.72</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81.50</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3.47</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86.90</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3.53</w:t>
            </w:r>
          </w:p>
        </w:tc>
        <w:tc>
          <w:tcPr>
            <w:tcW w:w="75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89.74</w:t>
            </w:r>
          </w:p>
        </w:tc>
        <w:tc>
          <w:tcPr>
            <w:tcW w:w="939" w:type="dxa"/>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3.62</w:t>
            </w:r>
          </w:p>
        </w:tc>
      </w:tr>
    </w:tbl>
    <w:p/>
    <w:p>
      <w:pPr>
        <w:pStyle w:val="33"/>
      </w:pPr>
      <w:bookmarkStart w:id="254" w:name="_Toc469038402"/>
      <w:r>
        <w:t>3.</w:t>
      </w:r>
      <w:r>
        <w:rPr>
          <w:rFonts w:hint="eastAsia"/>
        </w:rPr>
        <w:t>毕业生认为母校</w:t>
      </w:r>
      <w:r>
        <w:t>教学</w:t>
      </w:r>
      <w:r>
        <w:rPr>
          <w:rFonts w:hint="eastAsia"/>
        </w:rPr>
        <w:t>需要改进</w:t>
      </w:r>
      <w:r>
        <w:t>的方面</w:t>
      </w:r>
      <w:bookmarkEnd w:id="254"/>
    </w:p>
    <w:p>
      <w:pPr>
        <w:pStyle w:val="40"/>
      </w:pPr>
      <w:r>
        <w:rPr>
          <w:rFonts w:hint="eastAsia"/>
        </w:rPr>
        <w:t>根据</w:t>
      </w:r>
      <w:r>
        <w:t>调研数据统计</w:t>
      </w:r>
      <w:r>
        <w:rPr>
          <w:rFonts w:hint="eastAsia"/>
        </w:rPr>
        <w:t>，毕业生</w:t>
      </w:r>
      <w:r>
        <w:t>认为母校教学</w:t>
      </w:r>
      <w:r>
        <w:rPr>
          <w:rFonts w:hint="eastAsia"/>
        </w:rPr>
        <w:t>工作中</w:t>
      </w:r>
      <w:r>
        <w:t>需要改进的方面</w:t>
      </w:r>
      <w:r>
        <w:rPr>
          <w:rFonts w:hint="eastAsia"/>
        </w:rPr>
        <w:t>主要是：</w:t>
      </w:r>
      <w:r>
        <w:t>实践教学</w:t>
      </w:r>
      <w:r>
        <w:rPr>
          <w:rFonts w:hint="eastAsia"/>
        </w:rPr>
        <w:t>、专业</w:t>
      </w:r>
      <w:r>
        <w:t>课内容及安排、教学方法和手段，</w:t>
      </w:r>
      <w:r>
        <w:rPr>
          <w:rFonts w:hint="eastAsia"/>
        </w:rPr>
        <w:t>所占</w:t>
      </w:r>
      <w:r>
        <w:t>比例分别为23.81%、20.81%</w:t>
      </w:r>
      <w:r>
        <w:rPr>
          <w:rFonts w:hint="eastAsia"/>
        </w:rPr>
        <w:t>和19.73</w:t>
      </w:r>
      <w:r>
        <w:t>%。具体</w:t>
      </w:r>
      <w:r>
        <w:rPr>
          <w:rFonts w:hint="eastAsia"/>
        </w:rPr>
        <w:t>如图6</w:t>
      </w:r>
      <w:r>
        <w:t>-2所示：</w:t>
      </w:r>
    </w:p>
    <w:p>
      <w:pPr>
        <w:jc w:val="center"/>
      </w:pPr>
      <w:r>
        <w:drawing>
          <wp:inline distT="0" distB="0" distL="0" distR="0">
            <wp:extent cx="4572000" cy="2743200"/>
            <wp:effectExtent l="0" t="0" r="0" b="0"/>
            <wp:docPr id="43" name="图表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pPr>
        <w:pStyle w:val="8"/>
        <w:jc w:val="center"/>
        <w:rPr>
          <w:rFonts w:asciiTheme="minorEastAsia" w:hAnsiTheme="minorEastAsia" w:eastAsiaTheme="minorEastAsia"/>
          <w:sz w:val="18"/>
          <w:szCs w:val="18"/>
        </w:rPr>
      </w:pPr>
      <w:bookmarkStart w:id="255" w:name="_Toc470886998"/>
      <w:r>
        <w:rPr>
          <w:rFonts w:hint="eastAsia" w:asciiTheme="minorEastAsia" w:hAnsiTheme="minorEastAsia" w:eastAsiaTheme="minorEastAsia"/>
          <w:sz w:val="18"/>
          <w:szCs w:val="18"/>
        </w:rPr>
        <w:t>图6-</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图6-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2</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毕业生认为</w:t>
      </w:r>
      <w:r>
        <w:rPr>
          <w:rFonts w:asciiTheme="minorEastAsia" w:hAnsiTheme="minorEastAsia" w:eastAsiaTheme="minorEastAsia"/>
          <w:sz w:val="18"/>
          <w:szCs w:val="18"/>
        </w:rPr>
        <w:t>母校教学需要改进的</w:t>
      </w:r>
      <w:r>
        <w:rPr>
          <w:rFonts w:hint="eastAsia" w:asciiTheme="minorEastAsia" w:hAnsiTheme="minorEastAsia" w:eastAsiaTheme="minorEastAsia"/>
          <w:sz w:val="18"/>
          <w:szCs w:val="18"/>
        </w:rPr>
        <w:t>方面</w:t>
      </w:r>
      <w:bookmarkEnd w:id="255"/>
    </w:p>
    <w:p>
      <w:pPr>
        <w:pStyle w:val="30"/>
      </w:pPr>
      <w:bookmarkStart w:id="256" w:name="_Toc471310970"/>
      <w:bookmarkStart w:id="257" w:name="_Toc469038403"/>
      <w:r>
        <w:rPr>
          <w:rFonts w:hint="eastAsia"/>
        </w:rPr>
        <w:t>（三）毕业生对</w:t>
      </w:r>
      <w:r>
        <w:t>母校</w:t>
      </w:r>
      <w:r>
        <w:rPr>
          <w:rFonts w:hint="eastAsia"/>
        </w:rPr>
        <w:t>就业服务</w:t>
      </w:r>
      <w:r>
        <w:t>的评价</w:t>
      </w:r>
      <w:bookmarkEnd w:id="256"/>
      <w:bookmarkEnd w:id="257"/>
    </w:p>
    <w:p>
      <w:pPr>
        <w:pStyle w:val="33"/>
      </w:pPr>
      <w:bookmarkStart w:id="258" w:name="_Toc469038404"/>
      <w:r>
        <w:t>1.</w:t>
      </w:r>
      <w:r>
        <w:rPr>
          <w:rFonts w:hint="eastAsia"/>
        </w:rPr>
        <w:t>毕业生对母校就业服务方面</w:t>
      </w:r>
      <w:r>
        <w:t>的满意度</w:t>
      </w:r>
      <w:bookmarkEnd w:id="258"/>
    </w:p>
    <w:p>
      <w:pPr>
        <w:pStyle w:val="40"/>
      </w:pPr>
      <w:r>
        <w:rPr>
          <w:rFonts w:hint="eastAsia"/>
        </w:rPr>
        <w:t>根据</w:t>
      </w:r>
      <w:r>
        <w:t>调研数据分析，</w:t>
      </w:r>
      <w:r>
        <w:rPr>
          <w:rFonts w:hint="eastAsia"/>
        </w:rPr>
        <w:t>毕业生对</w:t>
      </w:r>
      <w:r>
        <w:t>母校</w:t>
      </w:r>
      <w:r>
        <w:rPr>
          <w:rFonts w:hint="eastAsia"/>
        </w:rPr>
        <w:t>就业</w:t>
      </w:r>
      <w:r>
        <w:t>服务满意度最高的</w:t>
      </w:r>
      <w:r>
        <w:rPr>
          <w:rFonts w:hint="eastAsia"/>
        </w:rPr>
        <w:t>工作为</w:t>
      </w:r>
      <w:r>
        <w:t>校园招聘活动，满意度为</w:t>
      </w:r>
      <w:r>
        <w:rPr>
          <w:rFonts w:hint="eastAsia"/>
        </w:rPr>
        <w:t>95.95</w:t>
      </w:r>
      <w:r>
        <w:t>%</w:t>
      </w:r>
      <w:r>
        <w:rPr>
          <w:rFonts w:hint="eastAsia"/>
        </w:rPr>
        <w:t>，</w:t>
      </w:r>
      <w:r>
        <w:t>对母校职业咨询</w:t>
      </w:r>
      <w:r>
        <w:rPr>
          <w:rFonts w:hint="eastAsia"/>
        </w:rPr>
        <w:t>/辅导</w:t>
      </w:r>
      <w:r>
        <w:t>满意度最</w:t>
      </w:r>
      <w:r>
        <w:rPr>
          <w:rFonts w:hint="eastAsia"/>
        </w:rPr>
        <w:t>低</w:t>
      </w:r>
      <w:r>
        <w:t>，为</w:t>
      </w:r>
      <w:r>
        <w:rPr>
          <w:rFonts w:hint="eastAsia"/>
        </w:rPr>
        <w:t>91.27</w:t>
      </w:r>
      <w:r>
        <w:t>%</w:t>
      </w:r>
      <w:r>
        <w:rPr>
          <w:rFonts w:hint="eastAsia"/>
        </w:rPr>
        <w:t>。具体如</w:t>
      </w:r>
      <w:r>
        <w:t>图</w:t>
      </w:r>
      <w:r>
        <w:rPr>
          <w:rFonts w:hint="eastAsia"/>
        </w:rPr>
        <w:t>6</w:t>
      </w:r>
      <w:r>
        <w:t>-3所示：</w:t>
      </w:r>
    </w:p>
    <w:p>
      <w:pPr>
        <w:spacing w:line="360" w:lineRule="auto"/>
        <w:jc w:val="center"/>
      </w:pPr>
      <w:r>
        <w:drawing>
          <wp:inline distT="0" distB="0" distL="0" distR="0">
            <wp:extent cx="4572000" cy="2743200"/>
            <wp:effectExtent l="0" t="0" r="0" b="0"/>
            <wp:docPr id="44" name="图表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pPr>
        <w:pStyle w:val="8"/>
        <w:jc w:val="center"/>
        <w:rPr>
          <w:rFonts w:asciiTheme="minorEastAsia" w:hAnsiTheme="minorEastAsia" w:eastAsiaTheme="minorEastAsia"/>
          <w:sz w:val="18"/>
          <w:szCs w:val="18"/>
        </w:rPr>
      </w:pPr>
      <w:bookmarkStart w:id="259" w:name="_Toc470886999"/>
      <w:r>
        <w:rPr>
          <w:rFonts w:hint="eastAsia" w:asciiTheme="minorEastAsia" w:hAnsiTheme="minorEastAsia" w:eastAsiaTheme="minorEastAsia"/>
          <w:sz w:val="18"/>
          <w:szCs w:val="18"/>
        </w:rPr>
        <w:t>图6-</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图6-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3</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毕业生</w:t>
      </w:r>
      <w:r>
        <w:rPr>
          <w:rFonts w:asciiTheme="minorEastAsia" w:hAnsiTheme="minorEastAsia" w:eastAsiaTheme="minorEastAsia"/>
          <w:sz w:val="18"/>
          <w:szCs w:val="18"/>
        </w:rPr>
        <w:t>对母校就业服务的满意度</w:t>
      </w:r>
      <w:bookmarkEnd w:id="259"/>
    </w:p>
    <w:p>
      <w:pPr>
        <w:pStyle w:val="33"/>
      </w:pPr>
      <w:bookmarkStart w:id="260" w:name="_Toc469038405"/>
      <w:r>
        <w:t>2.</w:t>
      </w:r>
      <w:r>
        <w:rPr>
          <w:rFonts w:hint="eastAsia"/>
        </w:rPr>
        <w:t>毕业生对母校就业服务平均得分</w:t>
      </w:r>
      <w:bookmarkEnd w:id="260"/>
    </w:p>
    <w:p>
      <w:pPr>
        <w:pStyle w:val="40"/>
      </w:pPr>
      <w:r>
        <w:rPr>
          <w:rFonts w:hint="eastAsia"/>
        </w:rPr>
        <w:t>以下是所有参与回答问卷的毕业生对母校就业服务各个指标的评价，各指标分别以1</w:t>
      </w:r>
      <w:r>
        <w:t>-5</w:t>
      </w:r>
      <w:r>
        <w:rPr>
          <w:rFonts w:hint="eastAsia"/>
        </w:rPr>
        <w:t>分</w:t>
      </w:r>
      <w:r>
        <w:t>进行评价，其中</w:t>
      </w:r>
      <w:r>
        <w:rPr>
          <w:rFonts w:hint="eastAsia"/>
        </w:rPr>
        <w:t>5分</w:t>
      </w:r>
      <w:r>
        <w:t>指</w:t>
      </w:r>
      <w:r>
        <w:rPr>
          <w:rFonts w:hint="eastAsia"/>
        </w:rPr>
        <w:t>非常</w:t>
      </w:r>
      <w:r>
        <w:t>满意，</w:t>
      </w:r>
      <w:r>
        <w:rPr>
          <w:rFonts w:hint="eastAsia"/>
        </w:rPr>
        <w:t>1分</w:t>
      </w:r>
      <w:r>
        <w:t>指</w:t>
      </w:r>
      <w:r>
        <w:rPr>
          <w:rFonts w:hint="eastAsia"/>
        </w:rPr>
        <w:t>很不满意。总体来看，毕业生对母校就业服务的各个方面的评价</w:t>
      </w:r>
      <w:r>
        <w:t>倾向于比较满意，</w:t>
      </w:r>
      <w:r>
        <w:rPr>
          <w:rFonts w:hint="eastAsia"/>
        </w:rPr>
        <w:t>校园</w:t>
      </w:r>
      <w:r>
        <w:t>招聘活动</w:t>
      </w:r>
      <w:r>
        <w:rPr>
          <w:rFonts w:hint="eastAsia"/>
        </w:rPr>
        <w:t>4.09分</w:t>
      </w:r>
      <w:r>
        <w:t>，就业/</w:t>
      </w:r>
      <w:r>
        <w:rPr>
          <w:rFonts w:hint="eastAsia"/>
        </w:rPr>
        <w:t>创业</w:t>
      </w:r>
      <w:r>
        <w:t>指导课</w:t>
      </w:r>
      <w:r>
        <w:rPr>
          <w:rFonts w:hint="eastAsia"/>
        </w:rPr>
        <w:t>3.95分</w:t>
      </w:r>
      <w:r>
        <w:t>，就业困难</w:t>
      </w:r>
      <w:r>
        <w:rPr>
          <w:rFonts w:hint="eastAsia"/>
        </w:rPr>
        <w:t>群众</w:t>
      </w:r>
      <w:r>
        <w:t>帮扶</w:t>
      </w:r>
      <w:r>
        <w:rPr>
          <w:rFonts w:hint="eastAsia"/>
        </w:rPr>
        <w:t>3.92分</w:t>
      </w:r>
      <w:r>
        <w:t>，就业手续办理</w:t>
      </w:r>
      <w:r>
        <w:rPr>
          <w:rFonts w:hint="eastAsia"/>
        </w:rPr>
        <w:t>3.91分</w:t>
      </w:r>
      <w:r>
        <w:t>，职业咨询</w:t>
      </w:r>
      <w:r>
        <w:rPr>
          <w:rFonts w:hint="eastAsia"/>
        </w:rPr>
        <w:t>/辅导3.84分</w:t>
      </w:r>
      <w:r>
        <w:t>，具体</w:t>
      </w:r>
      <w:r>
        <w:rPr>
          <w:rFonts w:hint="eastAsia"/>
        </w:rPr>
        <w:t>如图6</w:t>
      </w:r>
      <w:r>
        <w:t>-4所示：</w:t>
      </w:r>
      <w:r>
        <w:rPr>
          <w:rFonts w:hint="eastAsia"/>
        </w:rPr>
        <w:t xml:space="preserve"> </w:t>
      </w:r>
    </w:p>
    <w:p>
      <w:pPr>
        <w:spacing w:line="360" w:lineRule="auto"/>
        <w:jc w:val="center"/>
      </w:pPr>
      <w:r>
        <w:drawing>
          <wp:inline distT="0" distB="0" distL="0" distR="0">
            <wp:extent cx="4572000" cy="2743200"/>
            <wp:effectExtent l="0" t="0" r="0" b="0"/>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pPr>
        <w:pStyle w:val="8"/>
        <w:jc w:val="center"/>
        <w:rPr>
          <w:rFonts w:asciiTheme="minorEastAsia" w:hAnsiTheme="minorEastAsia" w:eastAsiaTheme="minorEastAsia"/>
          <w:sz w:val="18"/>
          <w:szCs w:val="18"/>
        </w:rPr>
      </w:pPr>
      <w:bookmarkStart w:id="261" w:name="_Toc470887000"/>
      <w:r>
        <w:rPr>
          <w:rFonts w:hint="eastAsia" w:asciiTheme="minorEastAsia" w:hAnsiTheme="minorEastAsia" w:eastAsiaTheme="minorEastAsia"/>
          <w:sz w:val="18"/>
          <w:szCs w:val="18"/>
        </w:rPr>
        <w:t>图6-</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图6-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4</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毕业生对</w:t>
      </w:r>
      <w:r>
        <w:rPr>
          <w:rFonts w:asciiTheme="minorEastAsia" w:hAnsiTheme="minorEastAsia" w:eastAsiaTheme="minorEastAsia"/>
          <w:sz w:val="18"/>
          <w:szCs w:val="18"/>
        </w:rPr>
        <w:t>母校就业服务</w:t>
      </w:r>
      <w:r>
        <w:rPr>
          <w:rFonts w:hint="eastAsia" w:asciiTheme="minorEastAsia" w:hAnsiTheme="minorEastAsia" w:eastAsiaTheme="minorEastAsia"/>
          <w:sz w:val="18"/>
          <w:szCs w:val="18"/>
        </w:rPr>
        <w:t>满意度</w:t>
      </w:r>
      <w:r>
        <w:rPr>
          <w:rFonts w:asciiTheme="minorEastAsia" w:hAnsiTheme="minorEastAsia" w:eastAsiaTheme="minorEastAsia"/>
          <w:sz w:val="18"/>
          <w:szCs w:val="18"/>
        </w:rPr>
        <w:t>平均得分</w:t>
      </w:r>
      <w:bookmarkEnd w:id="261"/>
    </w:p>
    <w:p>
      <w:pPr>
        <w:pStyle w:val="30"/>
      </w:pPr>
      <w:bookmarkStart w:id="262" w:name="_Toc471310971"/>
      <w:bookmarkStart w:id="263" w:name="_Toc469038406"/>
      <w:r>
        <w:rPr>
          <w:rFonts w:hint="eastAsia"/>
        </w:rPr>
        <w:t>（四）毕业生对</w:t>
      </w:r>
      <w:r>
        <w:t>母校</w:t>
      </w:r>
      <w:r>
        <w:rPr>
          <w:rFonts w:hint="eastAsia"/>
        </w:rPr>
        <w:t>推荐</w:t>
      </w:r>
      <w:r>
        <w:t>度</w:t>
      </w:r>
      <w:bookmarkEnd w:id="262"/>
      <w:bookmarkEnd w:id="263"/>
    </w:p>
    <w:p>
      <w:pPr>
        <w:pStyle w:val="40"/>
      </w:pPr>
      <w:r>
        <w:rPr>
          <w:rFonts w:hint="eastAsia"/>
        </w:rPr>
        <w:t>根据</w:t>
      </w:r>
      <w:r>
        <w:t>调研数据</w:t>
      </w:r>
      <w:r>
        <w:rPr>
          <w:rFonts w:hint="eastAsia"/>
        </w:rPr>
        <w:t>统计</w:t>
      </w:r>
      <w:r>
        <w:t>，参与调研的</w:t>
      </w:r>
      <w:r>
        <w:rPr>
          <w:rFonts w:hint="eastAsia"/>
        </w:rPr>
        <w:t>2222名</w:t>
      </w:r>
      <w:r>
        <w:t>毕业生</w:t>
      </w:r>
      <w:r>
        <w:rPr>
          <w:rFonts w:hint="eastAsia"/>
        </w:rPr>
        <w:t>中</w:t>
      </w:r>
      <w:r>
        <w:t>，</w:t>
      </w:r>
      <w:r>
        <w:rPr>
          <w:rFonts w:hint="eastAsia"/>
        </w:rPr>
        <w:t>有</w:t>
      </w:r>
      <w:r>
        <w:t>88.21%的毕业生愿意将母校推荐给别人，</w:t>
      </w:r>
      <w:r>
        <w:rPr>
          <w:rFonts w:hint="eastAsia"/>
        </w:rPr>
        <w:t>即</w:t>
      </w:r>
      <w:r>
        <w:t>非常愿意、愿意、比较</w:t>
      </w:r>
      <w:r>
        <w:rPr>
          <w:rFonts w:hint="eastAsia"/>
        </w:rPr>
        <w:t>愿意</w:t>
      </w:r>
      <w:r>
        <w:t>毕业生人数比例之和</w:t>
      </w:r>
      <w:r>
        <w:rPr>
          <w:rFonts w:hint="eastAsia"/>
        </w:rPr>
        <w:t>为88.21</w:t>
      </w:r>
      <w:r>
        <w:t>%，</w:t>
      </w:r>
      <w:r>
        <w:rPr>
          <w:rFonts w:hint="eastAsia"/>
        </w:rPr>
        <w:t>另有11.79</w:t>
      </w:r>
      <w:r>
        <w:t>%毕业生</w:t>
      </w:r>
      <w:r>
        <w:rPr>
          <w:rFonts w:hint="eastAsia"/>
        </w:rPr>
        <w:t>不愿意将母校</w:t>
      </w:r>
      <w:r>
        <w:t>推荐给别人。</w:t>
      </w:r>
    </w:p>
    <w:p>
      <w:pPr>
        <w:spacing w:line="360" w:lineRule="auto"/>
        <w:jc w:val="center"/>
        <w:rPr>
          <w:sz w:val="18"/>
          <w:szCs w:val="18"/>
        </w:rPr>
      </w:pPr>
      <w:r>
        <w:drawing>
          <wp:inline distT="0" distB="0" distL="0" distR="0">
            <wp:extent cx="4572000" cy="2743200"/>
            <wp:effectExtent l="0" t="0" r="0" b="0"/>
            <wp:docPr id="46" name="图表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pPr>
        <w:pStyle w:val="8"/>
        <w:jc w:val="center"/>
        <w:rPr>
          <w:rFonts w:asciiTheme="minorEastAsia" w:hAnsiTheme="minorEastAsia" w:eastAsiaTheme="minorEastAsia"/>
          <w:sz w:val="18"/>
          <w:szCs w:val="18"/>
        </w:rPr>
      </w:pPr>
      <w:bookmarkStart w:id="264" w:name="_Toc470887001"/>
      <w:r>
        <w:rPr>
          <w:rFonts w:hint="eastAsia" w:asciiTheme="minorEastAsia" w:hAnsiTheme="minorEastAsia" w:eastAsiaTheme="minorEastAsia"/>
          <w:sz w:val="18"/>
          <w:szCs w:val="18"/>
        </w:rPr>
        <w:t>图6-</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图6-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5</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毕业生</w:t>
      </w:r>
      <w:r>
        <w:rPr>
          <w:rFonts w:asciiTheme="minorEastAsia" w:hAnsiTheme="minorEastAsia" w:eastAsiaTheme="minorEastAsia"/>
          <w:sz w:val="18"/>
          <w:szCs w:val="18"/>
        </w:rPr>
        <w:t>对母校推荐度</w:t>
      </w:r>
      <w:bookmarkEnd w:id="264"/>
    </w:p>
    <w:p>
      <w:pPr>
        <w:pStyle w:val="25"/>
      </w:pPr>
      <w:bookmarkStart w:id="265" w:name="_Toc469038407"/>
      <w:bookmarkStart w:id="266" w:name="_Toc471310972"/>
      <w:r>
        <w:rPr>
          <w:rFonts w:hint="eastAsia"/>
        </w:rPr>
        <w:t>二、母校满意度模型</w:t>
      </w:r>
      <w:bookmarkEnd w:id="265"/>
      <w:bookmarkEnd w:id="266"/>
    </w:p>
    <w:p>
      <w:pPr>
        <w:pStyle w:val="30"/>
      </w:pPr>
      <w:bookmarkStart w:id="267" w:name="_Toc469038408"/>
      <w:bookmarkStart w:id="268" w:name="_Toc471310973"/>
      <w:r>
        <w:rPr>
          <w:rFonts w:hint="eastAsia"/>
        </w:rPr>
        <w:t>（一）基本思想</w:t>
      </w:r>
      <w:bookmarkEnd w:id="267"/>
      <w:bookmarkEnd w:id="268"/>
    </w:p>
    <w:p>
      <w:pPr>
        <w:pStyle w:val="40"/>
      </w:pPr>
      <w:r>
        <w:rPr>
          <w:rFonts w:hint="eastAsia"/>
        </w:rPr>
        <w:t>变异</w:t>
      </w:r>
      <w:r>
        <w:t>系数</w:t>
      </w:r>
      <w:r>
        <w:rPr>
          <w:rFonts w:hint="eastAsia"/>
        </w:rPr>
        <w:t>法</w:t>
      </w:r>
      <w:r>
        <w:t>是基于指标数据所包含的信息量来确定指标权重的一种方法。该方法</w:t>
      </w:r>
      <w:r>
        <w:rPr>
          <w:rFonts w:hint="eastAsia"/>
        </w:rPr>
        <w:t>是</w:t>
      </w:r>
      <w:r>
        <w:t>根据评价</w:t>
      </w:r>
      <w:r>
        <w:rPr>
          <w:rFonts w:hint="eastAsia"/>
        </w:rPr>
        <w:t>指标包含</w:t>
      </w:r>
      <w:r>
        <w:t>的分辨信息来确定权重</w:t>
      </w:r>
      <w:r>
        <w:rPr>
          <w:rFonts w:hint="eastAsia"/>
        </w:rPr>
        <w:t>。</w:t>
      </w:r>
      <w:r>
        <w:t>采用</w:t>
      </w:r>
      <w:r>
        <w:rPr>
          <w:rFonts w:hint="eastAsia"/>
        </w:rPr>
        <w:t>变异系数法</w:t>
      </w:r>
      <w:r>
        <w:t>，变异系数越大，所赋的权重也越大。</w:t>
      </w:r>
    </w:p>
    <w:p>
      <w:pPr>
        <w:pStyle w:val="40"/>
      </w:pPr>
      <w:r>
        <w:t>指标体系</w:t>
      </w:r>
      <w:r>
        <w:rPr>
          <w:rFonts w:hint="eastAsia"/>
        </w:rPr>
        <w:t>有</w:t>
      </w:r>
      <w:r>
        <w:t>m个指标，指标</w:t>
      </w:r>
      <w:r>
        <w:rPr>
          <w:rFonts w:hint="eastAsia"/>
        </w:rPr>
        <w:t>有</w:t>
      </w:r>
      <w:r>
        <w:t>n</w:t>
      </w:r>
      <w:r>
        <w:rPr>
          <w:rFonts w:hint="eastAsia"/>
        </w:rPr>
        <w:t>个</w:t>
      </w:r>
      <w:r>
        <w:t>样本，</w:t>
      </w:r>
      <w:r>
        <w:rPr>
          <w:rFonts w:hint="eastAsia"/>
        </w:rPr>
        <w:t>为</w:t>
      </w:r>
      <w:r>
        <w:t>指标</w:t>
      </w:r>
      <w:r>
        <w:rPr>
          <w:rFonts w:hint="eastAsia"/>
        </w:rPr>
        <w:t>的</w:t>
      </w:r>
      <w:r>
        <w:t>平均值，</w:t>
      </w:r>
      <w:r>
        <w:rPr>
          <w:rFonts w:hint="eastAsia"/>
        </w:rPr>
        <w:t>为</w:t>
      </w:r>
      <w:r>
        <w:t>指标</w:t>
      </w:r>
      <w:r>
        <w:rPr>
          <w:rFonts w:hint="eastAsia"/>
        </w:rPr>
        <w:t>的</w:t>
      </w:r>
      <w:r>
        <w:t>标准差，那么该指标的变异系数</w:t>
      </w:r>
      <w:r>
        <w:rPr>
          <w:rFonts w:hint="eastAsia"/>
        </w:rPr>
        <w:t>，</w:t>
      </w:r>
      <w:r>
        <w:t>将</w:t>
      </w:r>
      <w:r>
        <w:rPr>
          <w:rFonts w:hint="eastAsia"/>
        </w:rPr>
        <w:t>CV作为</w:t>
      </w:r>
      <w:r>
        <w:t>各指标</w:t>
      </w:r>
      <w:r>
        <w:rPr>
          <w:rFonts w:hint="eastAsia"/>
        </w:rPr>
        <w:t>的</w:t>
      </w:r>
      <w:r>
        <w:t>权重得分，经归一化处理，即可得到</w:t>
      </w:r>
      <w:r>
        <w:rPr>
          <w:rFonts w:hint="eastAsia"/>
        </w:rPr>
        <w:t>变异权重</w:t>
      </w:r>
      <w:r>
        <w:t>系数。</w:t>
      </w:r>
    </w:p>
    <w:p>
      <w:pPr>
        <w:pStyle w:val="30"/>
      </w:pPr>
      <w:bookmarkStart w:id="269" w:name="_Toc471310974"/>
      <w:bookmarkStart w:id="270" w:name="_Toc469038409"/>
      <w:r>
        <w:rPr>
          <w:rFonts w:hint="eastAsia"/>
        </w:rPr>
        <w:t>（二）指标量化</w:t>
      </w:r>
      <w:bookmarkEnd w:id="269"/>
      <w:bookmarkEnd w:id="270"/>
    </w:p>
    <w:p>
      <w:pPr>
        <w:pStyle w:val="33"/>
      </w:pPr>
      <w:bookmarkStart w:id="271" w:name="_Toc469038410"/>
      <w:bookmarkStart w:id="272" w:name="_Toc457897071"/>
      <w:r>
        <w:t>1.</w:t>
      </w:r>
      <w:r>
        <w:rPr>
          <w:rFonts w:hint="eastAsia"/>
        </w:rPr>
        <w:t>指标</w:t>
      </w:r>
      <w:r>
        <w:t>变量</w:t>
      </w:r>
      <w:bookmarkEnd w:id="271"/>
      <w:bookmarkEnd w:id="272"/>
    </w:p>
    <w:p>
      <w:pPr>
        <w:pStyle w:val="40"/>
      </w:pPr>
      <w:r>
        <w:t>毕业生</w:t>
      </w:r>
      <w:r>
        <w:rPr>
          <w:rFonts w:hint="eastAsia"/>
        </w:rPr>
        <w:t>对学校</w:t>
      </w:r>
      <w:r>
        <w:t>满意</w:t>
      </w:r>
      <w:r>
        <w:rPr>
          <w:rFonts w:hint="eastAsia"/>
        </w:rPr>
        <w:t>度</w:t>
      </w:r>
      <w:r>
        <w:t>评价指标的选择</w:t>
      </w:r>
      <w:r>
        <w:rPr>
          <w:rFonts w:hint="eastAsia"/>
        </w:rPr>
        <w:t>取决于毕业生对其所在</w:t>
      </w:r>
      <w:r>
        <w:t>院校</w:t>
      </w:r>
      <w:r>
        <w:rPr>
          <w:rFonts w:hint="eastAsia"/>
        </w:rPr>
        <w:t>的</w:t>
      </w:r>
      <w:r>
        <w:t>需求和评价</w:t>
      </w:r>
      <w:r>
        <w:rPr>
          <w:rFonts w:hint="eastAsia"/>
        </w:rPr>
        <w:t>两方面。</w:t>
      </w:r>
      <w:r>
        <w:t>通过</w:t>
      </w:r>
      <w:r>
        <w:rPr>
          <w:rFonts w:hint="eastAsia"/>
        </w:rPr>
        <w:t>对</w:t>
      </w:r>
      <w:r>
        <w:t>问卷的整理以及对以往资料的查询分析</w:t>
      </w:r>
      <w:r>
        <w:rPr>
          <w:rFonts w:hint="eastAsia"/>
        </w:rPr>
        <w:t>，清洗后</w:t>
      </w:r>
      <w:r>
        <w:t>共2222</w:t>
      </w:r>
      <w:r>
        <w:rPr>
          <w:rFonts w:hint="eastAsia"/>
        </w:rPr>
        <w:t>组</w:t>
      </w:r>
      <w:r>
        <w:t>数据，具体</w:t>
      </w:r>
      <w:r>
        <w:rPr>
          <w:rFonts w:hint="eastAsia"/>
        </w:rPr>
        <w:t>评估</w:t>
      </w:r>
      <w:r>
        <w:t>指标</w:t>
      </w:r>
      <w:r>
        <w:rPr>
          <w:rFonts w:hint="eastAsia"/>
        </w:rPr>
        <w:t>有老师授课、实践教学、课程设置、专业设置、亲友推荐、就业/创业指导课、职业咨询/辅导、校园招聘活动、就业手续办理、就业困难群体帮扶等10个</w:t>
      </w:r>
      <w:r>
        <w:t>指标</w:t>
      </w:r>
      <w:r>
        <w:rPr>
          <w:rFonts w:hint="eastAsia"/>
        </w:rPr>
        <w:t>，</w:t>
      </w:r>
      <w:r>
        <w:t>分别用</w:t>
      </w:r>
      <w:r>
        <w:rPr>
          <w:rFonts w:hint="eastAsia" w:ascii="宋体" w:hAnsi="宋体"/>
        </w:rPr>
        <w:t>X1、X2</w:t>
      </w:r>
      <w:r>
        <w:rPr>
          <w:rFonts w:ascii="宋体" w:hAnsi="宋体"/>
        </w:rPr>
        <w:t>…</w:t>
      </w:r>
      <w:r>
        <w:rPr>
          <w:rFonts w:hint="eastAsia" w:ascii="宋体" w:hAnsi="宋体"/>
        </w:rPr>
        <w:t>X</w:t>
      </w:r>
      <w:r>
        <w:rPr>
          <w:rFonts w:ascii="宋体" w:hAnsi="宋体"/>
        </w:rPr>
        <w:t>10</w:t>
      </w:r>
      <w:r>
        <w:rPr>
          <w:rFonts w:hint="eastAsia" w:ascii="宋体" w:hAnsi="宋体"/>
        </w:rPr>
        <w:t>表示</w:t>
      </w:r>
      <w:r>
        <w:rPr>
          <w:rFonts w:hint="eastAsia"/>
        </w:rPr>
        <w:t>。</w:t>
      </w:r>
    </w:p>
    <w:p>
      <w:pPr>
        <w:pStyle w:val="33"/>
      </w:pPr>
      <w:bookmarkStart w:id="273" w:name="_Toc469038411"/>
      <w:r>
        <w:t>2.指标的量化</w:t>
      </w:r>
      <w:bookmarkEnd w:id="273"/>
    </w:p>
    <w:p>
      <w:pPr>
        <w:pStyle w:val="40"/>
      </w:pPr>
      <w:r>
        <w:t>毕业生</w:t>
      </w:r>
      <w:r>
        <w:rPr>
          <w:rFonts w:hint="eastAsia"/>
        </w:rPr>
        <w:t>对学校</w:t>
      </w:r>
      <w:r>
        <w:t>的满意度</w:t>
      </w:r>
      <w:r>
        <w:rPr>
          <w:rFonts w:hint="eastAsia"/>
        </w:rPr>
        <w:t>本质</w:t>
      </w:r>
      <w:r>
        <w:t>就是一个量化分析的过程，</w:t>
      </w:r>
      <w:r>
        <w:rPr>
          <w:rFonts w:hint="eastAsia"/>
        </w:rPr>
        <w:t>也就是分析</w:t>
      </w:r>
      <w:r>
        <w:t>数据化，</w:t>
      </w:r>
      <w:r>
        <w:rPr>
          <w:rFonts w:hint="eastAsia"/>
        </w:rPr>
        <w:t>即</w:t>
      </w:r>
      <w:r>
        <w:t>用数字来反映毕业生</w:t>
      </w:r>
      <w:r>
        <w:rPr>
          <w:rFonts w:hint="eastAsia"/>
        </w:rPr>
        <w:t>对学校</w:t>
      </w:r>
      <w:r>
        <w:t>的满意程度，</w:t>
      </w:r>
      <w:r>
        <w:rPr>
          <w:rFonts w:hint="eastAsia"/>
        </w:rPr>
        <w:t>需要对指标</w:t>
      </w:r>
      <w:r>
        <w:t>进行</w:t>
      </w:r>
      <w:r>
        <w:rPr>
          <w:rFonts w:hint="eastAsia"/>
        </w:rPr>
        <w:t>量化</w:t>
      </w:r>
      <w:r>
        <w:t>。</w:t>
      </w:r>
      <w:r>
        <w:rPr>
          <w:rFonts w:hint="eastAsia"/>
        </w:rPr>
        <w:t>量化指标的</w:t>
      </w:r>
      <w:r>
        <w:t>基础是对指标进行科学论证、认证推测，保证指标的科学性。由于</w:t>
      </w:r>
      <w:r>
        <w:rPr>
          <w:rFonts w:hint="eastAsia"/>
        </w:rPr>
        <w:t>本文</w:t>
      </w:r>
      <w:r>
        <w:t>毕业生</w:t>
      </w:r>
      <w:r>
        <w:rPr>
          <w:rFonts w:hint="eastAsia"/>
        </w:rPr>
        <w:t>对学校的满意度反应的</w:t>
      </w:r>
      <w:r>
        <w:t>是</w:t>
      </w:r>
      <w:r>
        <w:rPr>
          <w:rFonts w:hint="eastAsia"/>
        </w:rPr>
        <w:t>毕业生对</w:t>
      </w:r>
      <w:r>
        <w:t>教育教学以及</w:t>
      </w:r>
      <w:r>
        <w:rPr>
          <w:rFonts w:hint="eastAsia"/>
        </w:rPr>
        <w:t>就业</w:t>
      </w:r>
      <w:r>
        <w:t>状态整体</w:t>
      </w:r>
      <w:r>
        <w:rPr>
          <w:rFonts w:hint="eastAsia"/>
        </w:rPr>
        <w:t>看法</w:t>
      </w:r>
      <w:r>
        <w:t>和态度，因此本文使用态度测量技术对测评指标进行量</w:t>
      </w:r>
      <w:r>
        <w:rPr>
          <w:rFonts w:hint="eastAsia"/>
        </w:rPr>
        <w:t>化</w:t>
      </w:r>
      <w:r>
        <w:t>。</w:t>
      </w:r>
    </w:p>
    <w:p>
      <w:pPr>
        <w:pStyle w:val="40"/>
      </w:pPr>
      <w:r>
        <w:rPr>
          <w:rFonts w:hint="eastAsia"/>
        </w:rPr>
        <w:t>为</w:t>
      </w:r>
      <w:r>
        <w:t>了</w:t>
      </w:r>
      <w:r>
        <w:rPr>
          <w:rFonts w:hint="eastAsia"/>
        </w:rPr>
        <w:t>方便设计和</w:t>
      </w:r>
      <w:r>
        <w:t>处理，本文使用</w:t>
      </w:r>
      <w:r>
        <w:rPr>
          <w:rFonts w:hint="eastAsia"/>
        </w:rPr>
        <w:t>5个等级对</w:t>
      </w:r>
      <w:r>
        <w:t>指标进行量</w:t>
      </w:r>
      <w:r>
        <w:rPr>
          <w:rFonts w:hint="eastAsia"/>
        </w:rPr>
        <w:t>化</w:t>
      </w:r>
      <w:r>
        <w:t>，</w:t>
      </w:r>
      <w:r>
        <w:rPr>
          <w:rFonts w:hint="eastAsia"/>
        </w:rPr>
        <w:t>通过主观</w:t>
      </w:r>
      <w:r>
        <w:t>分析分别</w:t>
      </w:r>
      <w:r>
        <w:rPr>
          <w:rFonts w:hint="eastAsia"/>
        </w:rPr>
        <w:t>就各</w:t>
      </w:r>
      <w:r>
        <w:t>指标对就业满意度影响</w:t>
      </w:r>
      <w:r>
        <w:rPr>
          <w:rFonts w:hint="eastAsia"/>
        </w:rPr>
        <w:t>由</w:t>
      </w:r>
      <w:r>
        <w:t>强到</w:t>
      </w:r>
      <w:r>
        <w:rPr>
          <w:rFonts w:hint="eastAsia"/>
        </w:rPr>
        <w:t>弱赋值（</w:t>
      </w:r>
      <w:r>
        <w:t>5-1</w:t>
      </w:r>
      <w:r>
        <w:rPr>
          <w:rFonts w:hint="eastAsia"/>
        </w:rPr>
        <w:t>），</w:t>
      </w:r>
      <w:r>
        <w:t>如</w:t>
      </w:r>
      <w:r>
        <w:rPr>
          <w:rFonts w:hint="eastAsia"/>
        </w:rPr>
        <w:t>“非常</w:t>
      </w:r>
      <w:r>
        <w:t>满意</w:t>
      </w:r>
      <w:r>
        <w:rPr>
          <w:rFonts w:hint="eastAsia"/>
        </w:rPr>
        <w:t>”</w:t>
      </w:r>
      <w:r>
        <w:t>=5</w:t>
      </w:r>
      <w:r>
        <w:rPr>
          <w:rFonts w:hint="eastAsia"/>
        </w:rPr>
        <w:t>，“</w:t>
      </w:r>
      <w:r>
        <w:t>满意</w:t>
      </w:r>
      <w:r>
        <w:rPr>
          <w:rFonts w:hint="eastAsia"/>
        </w:rPr>
        <w:t>”</w:t>
      </w:r>
      <w:r>
        <w:t>=4</w:t>
      </w:r>
      <w:r>
        <w:rPr>
          <w:rFonts w:hint="eastAsia"/>
        </w:rPr>
        <w:t>，“比较</w:t>
      </w:r>
      <w:r>
        <w:t>满意</w:t>
      </w:r>
      <w:r>
        <w:rPr>
          <w:rFonts w:hint="eastAsia"/>
        </w:rPr>
        <w:t>”</w:t>
      </w:r>
      <w:r>
        <w:t>=3</w:t>
      </w:r>
      <w:r>
        <w:rPr>
          <w:rFonts w:hint="eastAsia"/>
        </w:rPr>
        <w:t>，“不太</w:t>
      </w:r>
      <w:r>
        <w:t>满意</w:t>
      </w:r>
      <w:r>
        <w:rPr>
          <w:rFonts w:hint="eastAsia"/>
        </w:rPr>
        <w:t>”</w:t>
      </w:r>
      <w:r>
        <w:t>=2</w:t>
      </w:r>
      <w:r>
        <w:rPr>
          <w:rFonts w:hint="eastAsia"/>
        </w:rPr>
        <w:t>，“很不满意</w:t>
      </w:r>
      <w:r>
        <w:t>”=1</w:t>
      </w:r>
      <w:r>
        <w:rPr>
          <w:rFonts w:hint="eastAsia"/>
        </w:rPr>
        <w:t>。</w:t>
      </w:r>
    </w:p>
    <w:p>
      <w:pPr>
        <w:pStyle w:val="30"/>
      </w:pPr>
      <w:bookmarkStart w:id="274" w:name="_Toc471310975"/>
      <w:bookmarkStart w:id="275" w:name="_Toc469038412"/>
      <w:r>
        <w:rPr>
          <w:rFonts w:hint="eastAsia"/>
        </w:rPr>
        <w:t>（三）</w:t>
      </w:r>
      <w:r>
        <w:t>确定权重</w:t>
      </w:r>
      <w:bookmarkEnd w:id="274"/>
      <w:bookmarkEnd w:id="275"/>
    </w:p>
    <w:p>
      <w:pPr>
        <w:pStyle w:val="33"/>
      </w:pPr>
      <w:bookmarkStart w:id="276" w:name="_Toc469038413"/>
      <w:r>
        <w:rPr>
          <w:rFonts w:hint="eastAsia"/>
        </w:rPr>
        <w:t>1.计算</w:t>
      </w:r>
      <w:r>
        <w:t>变异系数</w:t>
      </w:r>
      <w:bookmarkEnd w:id="276"/>
    </w:p>
    <w:p>
      <w:pPr>
        <w:pStyle w:val="40"/>
      </w:pPr>
      <w:r>
        <w:rPr>
          <w:rFonts w:hint="eastAsia"/>
        </w:rPr>
        <w:t>首先运用S</w:t>
      </w:r>
      <w:r>
        <w:t>PSS计算</w:t>
      </w:r>
      <w:r>
        <w:rPr>
          <w:rFonts w:hint="eastAsia"/>
        </w:rPr>
        <w:t>出毕业生</w:t>
      </w:r>
      <w:r>
        <w:t>对各个</w:t>
      </w:r>
      <w:r>
        <w:rPr>
          <w:rFonts w:hint="eastAsia"/>
        </w:rPr>
        <w:t>指标</w:t>
      </w:r>
      <w:r>
        <w:t>评分的</w:t>
      </w:r>
      <w:r>
        <w:rPr>
          <w:rFonts w:hint="eastAsia"/>
        </w:rPr>
        <w:t>平均值、</w:t>
      </w:r>
      <w:r>
        <w:t>标准偏差和方差</w:t>
      </w:r>
      <w:r>
        <w:rPr>
          <w:rFonts w:hint="eastAsia"/>
        </w:rPr>
        <w:t>等</w:t>
      </w:r>
      <w:r>
        <w:t>，</w:t>
      </w:r>
      <w:r>
        <w:rPr>
          <w:rFonts w:hint="eastAsia"/>
        </w:rPr>
        <w:t>然后</w:t>
      </w:r>
      <w:r>
        <w:t>，根据计算公式</w:t>
      </w:r>
      <w:r>
        <w:rPr>
          <w:rFonts w:hint="eastAsia"/>
        </w:rPr>
        <w:t>，</w:t>
      </w:r>
      <w:r>
        <w:t>计算可得各指标的变异系数，对变异系数</w:t>
      </w:r>
      <w:r>
        <w:rPr>
          <w:rFonts w:hint="eastAsia"/>
        </w:rPr>
        <w:t>进行</w:t>
      </w:r>
      <w:r>
        <w:t>归一化处理，即可得到各个指标的评分权重，</w:t>
      </w:r>
      <w:r>
        <w:rPr>
          <w:rFonts w:hint="eastAsia"/>
        </w:rPr>
        <w:t>如下表</w:t>
      </w:r>
      <w:r>
        <w:t>所示：</w:t>
      </w:r>
    </w:p>
    <w:p>
      <w:pPr>
        <w:pStyle w:val="40"/>
      </w:pPr>
      <w:r>
        <w:t>计算计算结果如表</w:t>
      </w:r>
      <w:r>
        <w:rPr>
          <w:rFonts w:hint="eastAsia"/>
        </w:rPr>
        <w:t>6</w:t>
      </w:r>
      <w:r>
        <w:t>-3所示：</w:t>
      </w:r>
    </w:p>
    <w:p>
      <w:pPr>
        <w:pStyle w:val="8"/>
        <w:jc w:val="center"/>
        <w:rPr>
          <w:rFonts w:asciiTheme="minorEastAsia" w:hAnsiTheme="minorEastAsia" w:eastAsiaTheme="minorEastAsia"/>
          <w:sz w:val="18"/>
        </w:rPr>
      </w:pPr>
      <w:bookmarkStart w:id="277" w:name="_Toc470886954"/>
      <w:r>
        <w:rPr>
          <w:rFonts w:asciiTheme="minorEastAsia" w:hAnsiTheme="minorEastAsia" w:eastAsiaTheme="minorEastAsia"/>
          <w:sz w:val="18"/>
        </w:rPr>
        <w:t>表6-</w:t>
      </w:r>
      <w:r>
        <w:rPr>
          <w:rFonts w:asciiTheme="minorEastAsia" w:hAnsiTheme="minorEastAsia" w:eastAsiaTheme="minorEastAsia"/>
          <w:sz w:val="18"/>
        </w:rPr>
        <w:fldChar w:fldCharType="begin"/>
      </w:r>
      <w:r>
        <w:rPr>
          <w:rFonts w:asciiTheme="minorEastAsia" w:hAnsiTheme="minorEastAsia" w:eastAsiaTheme="minorEastAsia"/>
          <w:sz w:val="18"/>
        </w:rPr>
        <w:instrText xml:space="preserve"> SEQ 表6- \* ARABIC </w:instrText>
      </w:r>
      <w:r>
        <w:rPr>
          <w:rFonts w:asciiTheme="minorEastAsia" w:hAnsiTheme="minorEastAsia" w:eastAsiaTheme="minorEastAsia"/>
          <w:sz w:val="18"/>
        </w:rPr>
        <w:fldChar w:fldCharType="separate"/>
      </w:r>
      <w:r>
        <w:rPr>
          <w:rFonts w:asciiTheme="minorEastAsia" w:hAnsiTheme="minorEastAsia" w:eastAsiaTheme="minorEastAsia"/>
          <w:sz w:val="18"/>
        </w:rPr>
        <w:t>3</w:t>
      </w:r>
      <w:r>
        <w:rPr>
          <w:rFonts w:asciiTheme="minorEastAsia" w:hAnsiTheme="minorEastAsia" w:eastAsiaTheme="minorEastAsia"/>
          <w:sz w:val="18"/>
        </w:rPr>
        <w:fldChar w:fldCharType="end"/>
      </w:r>
      <w:r>
        <w:rPr>
          <w:rFonts w:asciiTheme="minorEastAsia" w:hAnsiTheme="minorEastAsia" w:eastAsiaTheme="minorEastAsia"/>
          <w:sz w:val="18"/>
        </w:rPr>
        <w:t xml:space="preserve"> </w:t>
      </w:r>
      <w:r>
        <w:rPr>
          <w:rFonts w:hint="eastAsia" w:asciiTheme="minorEastAsia" w:hAnsiTheme="minorEastAsia" w:eastAsiaTheme="minorEastAsia"/>
          <w:sz w:val="18"/>
        </w:rPr>
        <w:t>变异系数</w:t>
      </w:r>
      <w:bookmarkEnd w:id="277"/>
    </w:p>
    <w:tbl>
      <w:tblPr>
        <w:tblStyle w:val="22"/>
        <w:tblW w:w="8276" w:type="dxa"/>
        <w:tblInd w:w="0" w:type="dxa"/>
        <w:tblLayout w:type="fixed"/>
        <w:tblCellMar>
          <w:top w:w="0" w:type="dxa"/>
          <w:left w:w="108" w:type="dxa"/>
          <w:bottom w:w="0" w:type="dxa"/>
          <w:right w:w="108" w:type="dxa"/>
        </w:tblCellMar>
      </w:tblPr>
      <w:tblGrid>
        <w:gridCol w:w="2151"/>
        <w:gridCol w:w="748"/>
        <w:gridCol w:w="1215"/>
        <w:gridCol w:w="1215"/>
        <w:gridCol w:w="866"/>
        <w:gridCol w:w="1215"/>
        <w:gridCol w:w="866"/>
      </w:tblGrid>
      <w:tr>
        <w:tblPrEx>
          <w:tblLayout w:type="fixed"/>
          <w:tblCellMar>
            <w:top w:w="0" w:type="dxa"/>
            <w:left w:w="108" w:type="dxa"/>
            <w:bottom w:w="0" w:type="dxa"/>
            <w:right w:w="108" w:type="dxa"/>
          </w:tblCellMar>
        </w:tblPrEx>
        <w:trPr>
          <w:trHeight w:val="312" w:hRule="atLeast"/>
        </w:trPr>
        <w:tc>
          <w:tcPr>
            <w:tcW w:w="2151" w:type="dxa"/>
            <w:vMerge w:val="restart"/>
            <w:tcBorders>
              <w:top w:val="single" w:color="000000" w:sz="12" w:space="0"/>
              <w:left w:val="single" w:color="000000" w:sz="12" w:space="0"/>
              <w:bottom w:val="single" w:color="000000" w:sz="12" w:space="0"/>
              <w:right w:val="single" w:color="000000" w:sz="12" w:space="0"/>
            </w:tcBorders>
            <w:shd w:val="clear" w:color="auto" w:fill="auto"/>
            <w:vAlign w:val="center"/>
          </w:tcPr>
          <w:p>
            <w:pPr>
              <w:jc w:val="center"/>
              <w:rPr>
                <w:rFonts w:asciiTheme="minorEastAsia" w:hAnsiTheme="minorEastAsia"/>
                <w:sz w:val="18"/>
                <w:szCs w:val="18"/>
              </w:rPr>
            </w:pPr>
          </w:p>
        </w:tc>
        <w:tc>
          <w:tcPr>
            <w:tcW w:w="1963" w:type="dxa"/>
            <w:gridSpan w:val="2"/>
            <w:tcBorders>
              <w:top w:val="single" w:color="000000" w:sz="12"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平均值(E)</w:t>
            </w:r>
          </w:p>
        </w:tc>
        <w:tc>
          <w:tcPr>
            <w:tcW w:w="1215" w:type="dxa"/>
            <w:tcBorders>
              <w:top w:val="single" w:color="000000" w:sz="12" w:space="0"/>
              <w:left w:val="nil"/>
              <w:bottom w:val="single" w:color="000000" w:sz="4" w:space="0"/>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标准偏差</w:t>
            </w:r>
          </w:p>
        </w:tc>
        <w:tc>
          <w:tcPr>
            <w:tcW w:w="866" w:type="dxa"/>
            <w:tcBorders>
              <w:top w:val="single" w:color="000000" w:sz="12" w:space="0"/>
              <w:left w:val="nil"/>
              <w:bottom w:val="single" w:color="000000" w:sz="4" w:space="0"/>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方差</w:t>
            </w:r>
          </w:p>
        </w:tc>
        <w:tc>
          <w:tcPr>
            <w:tcW w:w="1215" w:type="dxa"/>
            <w:vMerge w:val="restart"/>
            <w:tcBorders>
              <w:top w:val="single" w:color="auto" w:sz="12" w:space="0"/>
              <w:left w:val="nil"/>
              <w:bottom w:val="single" w:color="000000" w:sz="12" w:space="0"/>
              <w:right w:val="single" w:color="auto"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变异系数</w:t>
            </w:r>
          </w:p>
        </w:tc>
        <w:tc>
          <w:tcPr>
            <w:tcW w:w="866" w:type="dxa"/>
            <w:vMerge w:val="restart"/>
            <w:tcBorders>
              <w:top w:val="single" w:color="auto" w:sz="12" w:space="0"/>
              <w:left w:val="single" w:color="auto" w:sz="4" w:space="0"/>
              <w:bottom w:val="single" w:color="000000" w:sz="12" w:space="0"/>
              <w:right w:val="single" w:color="auto" w:sz="12"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权重</w:t>
            </w:r>
          </w:p>
        </w:tc>
      </w:tr>
      <w:tr>
        <w:tblPrEx>
          <w:tblLayout w:type="fixed"/>
          <w:tblCellMar>
            <w:top w:w="0" w:type="dxa"/>
            <w:left w:w="108" w:type="dxa"/>
            <w:bottom w:w="0" w:type="dxa"/>
            <w:right w:w="108" w:type="dxa"/>
          </w:tblCellMar>
        </w:tblPrEx>
        <w:trPr>
          <w:trHeight w:val="312" w:hRule="atLeast"/>
        </w:trPr>
        <w:tc>
          <w:tcPr>
            <w:tcW w:w="2151" w:type="dxa"/>
            <w:vMerge w:val="continue"/>
            <w:tcBorders>
              <w:top w:val="single" w:color="000000" w:sz="12" w:space="0"/>
              <w:left w:val="single" w:color="000000" w:sz="12" w:space="0"/>
              <w:bottom w:val="single" w:color="000000" w:sz="12" w:space="0"/>
              <w:right w:val="single" w:color="000000" w:sz="12" w:space="0"/>
            </w:tcBorders>
            <w:vAlign w:val="center"/>
          </w:tcPr>
          <w:p>
            <w:pPr>
              <w:jc w:val="center"/>
              <w:rPr>
                <w:rFonts w:asciiTheme="minorEastAsia" w:hAnsiTheme="minorEastAsia"/>
                <w:sz w:val="18"/>
                <w:szCs w:val="18"/>
              </w:rPr>
            </w:pPr>
          </w:p>
        </w:tc>
        <w:tc>
          <w:tcPr>
            <w:tcW w:w="748" w:type="dxa"/>
            <w:tcBorders>
              <w:top w:val="nil"/>
              <w:left w:val="single" w:color="000000" w:sz="4" w:space="0"/>
              <w:bottom w:val="single" w:color="000000" w:sz="12" w:space="0"/>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统计</w:t>
            </w:r>
          </w:p>
        </w:tc>
        <w:tc>
          <w:tcPr>
            <w:tcW w:w="1215" w:type="dxa"/>
            <w:tcBorders>
              <w:top w:val="nil"/>
              <w:left w:val="nil"/>
              <w:bottom w:val="single" w:color="000000" w:sz="12" w:space="0"/>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标准错误</w:t>
            </w:r>
          </w:p>
        </w:tc>
        <w:tc>
          <w:tcPr>
            <w:tcW w:w="1215" w:type="dxa"/>
            <w:tcBorders>
              <w:top w:val="nil"/>
              <w:left w:val="nil"/>
              <w:bottom w:val="single" w:color="000000" w:sz="12" w:space="0"/>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统计</w:t>
            </w:r>
          </w:p>
        </w:tc>
        <w:tc>
          <w:tcPr>
            <w:tcW w:w="866" w:type="dxa"/>
            <w:tcBorders>
              <w:top w:val="nil"/>
              <w:left w:val="nil"/>
              <w:bottom w:val="single" w:color="000000" w:sz="12" w:space="0"/>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统计</w:t>
            </w:r>
          </w:p>
        </w:tc>
        <w:tc>
          <w:tcPr>
            <w:tcW w:w="1215" w:type="dxa"/>
            <w:vMerge w:val="continue"/>
            <w:tcBorders>
              <w:top w:val="single" w:color="auto" w:sz="12" w:space="0"/>
              <w:left w:val="nil"/>
              <w:bottom w:val="single" w:color="000000" w:sz="12" w:space="0"/>
              <w:right w:val="single" w:color="auto" w:sz="4" w:space="0"/>
            </w:tcBorders>
            <w:vAlign w:val="center"/>
          </w:tcPr>
          <w:p>
            <w:pPr>
              <w:jc w:val="center"/>
              <w:rPr>
                <w:rFonts w:asciiTheme="minorEastAsia" w:hAnsiTheme="minorEastAsia"/>
                <w:sz w:val="18"/>
                <w:szCs w:val="18"/>
              </w:rPr>
            </w:pPr>
          </w:p>
        </w:tc>
        <w:tc>
          <w:tcPr>
            <w:tcW w:w="866" w:type="dxa"/>
            <w:vMerge w:val="continue"/>
            <w:tcBorders>
              <w:top w:val="single" w:color="auto" w:sz="12" w:space="0"/>
              <w:left w:val="single" w:color="auto" w:sz="4" w:space="0"/>
              <w:bottom w:val="single" w:color="000000" w:sz="12" w:space="0"/>
              <w:right w:val="single" w:color="auto" w:sz="12" w:space="0"/>
            </w:tcBorders>
            <w:vAlign w:val="center"/>
          </w:tcPr>
          <w:p>
            <w:pPr>
              <w:jc w:val="center"/>
              <w:rPr>
                <w:rFonts w:asciiTheme="minorEastAsia" w:hAnsiTheme="minorEastAsia"/>
                <w:sz w:val="18"/>
                <w:szCs w:val="18"/>
              </w:rPr>
            </w:pPr>
          </w:p>
        </w:tc>
      </w:tr>
      <w:tr>
        <w:tblPrEx>
          <w:tblLayout w:type="fixed"/>
          <w:tblCellMar>
            <w:top w:w="0" w:type="dxa"/>
            <w:left w:w="108" w:type="dxa"/>
            <w:bottom w:w="0" w:type="dxa"/>
            <w:right w:w="108" w:type="dxa"/>
          </w:tblCellMar>
        </w:tblPrEx>
        <w:trPr>
          <w:trHeight w:val="312" w:hRule="atLeast"/>
        </w:trPr>
        <w:tc>
          <w:tcPr>
            <w:tcW w:w="2151" w:type="dxa"/>
            <w:tcBorders>
              <w:top w:val="nil"/>
              <w:left w:val="single" w:color="000000" w:sz="12" w:space="0"/>
              <w:bottom w:val="nil"/>
              <w:right w:val="single" w:color="000000" w:sz="12"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老师授课</w:t>
            </w:r>
          </w:p>
        </w:tc>
        <w:tc>
          <w:tcPr>
            <w:tcW w:w="748" w:type="dxa"/>
            <w:tcBorders>
              <w:top w:val="nil"/>
              <w:left w:val="single" w:color="000000" w:sz="4" w:space="0"/>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3.72</w:t>
            </w:r>
          </w:p>
        </w:tc>
        <w:tc>
          <w:tcPr>
            <w:tcW w:w="1215" w:type="dxa"/>
            <w:tcBorders>
              <w:top w:val="nil"/>
              <w:left w:val="nil"/>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.019</w:t>
            </w:r>
          </w:p>
        </w:tc>
        <w:tc>
          <w:tcPr>
            <w:tcW w:w="1215" w:type="dxa"/>
            <w:tcBorders>
              <w:top w:val="nil"/>
              <w:left w:val="nil"/>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.900</w:t>
            </w:r>
          </w:p>
        </w:tc>
        <w:tc>
          <w:tcPr>
            <w:tcW w:w="866" w:type="dxa"/>
            <w:tcBorders>
              <w:top w:val="nil"/>
              <w:left w:val="nil"/>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.811</w:t>
            </w:r>
          </w:p>
        </w:tc>
        <w:tc>
          <w:tcPr>
            <w:tcW w:w="1215" w:type="dxa"/>
            <w:tcBorders>
              <w:top w:val="nil"/>
              <w:left w:val="nil"/>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.218</w:t>
            </w:r>
          </w:p>
        </w:tc>
        <w:tc>
          <w:tcPr>
            <w:tcW w:w="866" w:type="dxa"/>
            <w:tcBorders>
              <w:top w:val="nil"/>
              <w:left w:val="nil"/>
              <w:bottom w:val="nil"/>
              <w:right w:val="single" w:color="000000" w:sz="12"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.088</w:t>
            </w:r>
          </w:p>
        </w:tc>
      </w:tr>
      <w:tr>
        <w:tblPrEx>
          <w:tblLayout w:type="fixed"/>
          <w:tblCellMar>
            <w:top w:w="0" w:type="dxa"/>
            <w:left w:w="108" w:type="dxa"/>
            <w:bottom w:w="0" w:type="dxa"/>
            <w:right w:w="108" w:type="dxa"/>
          </w:tblCellMar>
        </w:tblPrEx>
        <w:trPr>
          <w:trHeight w:val="312" w:hRule="atLeast"/>
        </w:trPr>
        <w:tc>
          <w:tcPr>
            <w:tcW w:w="2151" w:type="dxa"/>
            <w:tcBorders>
              <w:top w:val="nil"/>
              <w:left w:val="single" w:color="000000" w:sz="12" w:space="0"/>
              <w:bottom w:val="nil"/>
              <w:right w:val="single" w:color="000000" w:sz="12"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实践教学</w:t>
            </w:r>
          </w:p>
        </w:tc>
        <w:tc>
          <w:tcPr>
            <w:tcW w:w="748" w:type="dxa"/>
            <w:tcBorders>
              <w:top w:val="nil"/>
              <w:left w:val="single" w:color="000000" w:sz="4" w:space="0"/>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3.47</w:t>
            </w:r>
          </w:p>
        </w:tc>
        <w:tc>
          <w:tcPr>
            <w:tcW w:w="1215" w:type="dxa"/>
            <w:tcBorders>
              <w:top w:val="nil"/>
              <w:left w:val="nil"/>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.022</w:t>
            </w:r>
          </w:p>
        </w:tc>
        <w:tc>
          <w:tcPr>
            <w:tcW w:w="1215" w:type="dxa"/>
            <w:tcBorders>
              <w:top w:val="nil"/>
              <w:left w:val="nil"/>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1.036</w:t>
            </w:r>
          </w:p>
        </w:tc>
        <w:tc>
          <w:tcPr>
            <w:tcW w:w="866" w:type="dxa"/>
            <w:tcBorders>
              <w:top w:val="nil"/>
              <w:left w:val="nil"/>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1.074</w:t>
            </w:r>
          </w:p>
        </w:tc>
        <w:tc>
          <w:tcPr>
            <w:tcW w:w="1215" w:type="dxa"/>
            <w:tcBorders>
              <w:top w:val="nil"/>
              <w:left w:val="nil"/>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.310</w:t>
            </w:r>
          </w:p>
        </w:tc>
        <w:tc>
          <w:tcPr>
            <w:tcW w:w="866" w:type="dxa"/>
            <w:tcBorders>
              <w:top w:val="nil"/>
              <w:left w:val="nil"/>
              <w:bottom w:val="nil"/>
              <w:right w:val="single" w:color="000000" w:sz="12"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0.125</w:t>
            </w:r>
          </w:p>
        </w:tc>
      </w:tr>
      <w:tr>
        <w:tblPrEx>
          <w:tblLayout w:type="fixed"/>
          <w:tblCellMar>
            <w:top w:w="0" w:type="dxa"/>
            <w:left w:w="108" w:type="dxa"/>
            <w:bottom w:w="0" w:type="dxa"/>
            <w:right w:w="108" w:type="dxa"/>
          </w:tblCellMar>
        </w:tblPrEx>
        <w:trPr>
          <w:trHeight w:val="312" w:hRule="atLeast"/>
        </w:trPr>
        <w:tc>
          <w:tcPr>
            <w:tcW w:w="2151" w:type="dxa"/>
            <w:tcBorders>
              <w:top w:val="nil"/>
              <w:left w:val="single" w:color="000000" w:sz="12" w:space="0"/>
              <w:bottom w:val="nil"/>
              <w:right w:val="single" w:color="000000" w:sz="12"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课程设置</w:t>
            </w:r>
          </w:p>
        </w:tc>
        <w:tc>
          <w:tcPr>
            <w:tcW w:w="748" w:type="dxa"/>
            <w:tcBorders>
              <w:top w:val="nil"/>
              <w:left w:val="single" w:color="000000" w:sz="4" w:space="0"/>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3.53</w:t>
            </w:r>
          </w:p>
        </w:tc>
        <w:tc>
          <w:tcPr>
            <w:tcW w:w="1215" w:type="dxa"/>
            <w:tcBorders>
              <w:top w:val="nil"/>
              <w:left w:val="nil"/>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.021</w:t>
            </w:r>
          </w:p>
        </w:tc>
        <w:tc>
          <w:tcPr>
            <w:tcW w:w="1215" w:type="dxa"/>
            <w:tcBorders>
              <w:top w:val="nil"/>
              <w:left w:val="nil"/>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.967</w:t>
            </w:r>
          </w:p>
        </w:tc>
        <w:tc>
          <w:tcPr>
            <w:tcW w:w="866" w:type="dxa"/>
            <w:tcBorders>
              <w:top w:val="nil"/>
              <w:left w:val="nil"/>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.934</w:t>
            </w:r>
          </w:p>
        </w:tc>
        <w:tc>
          <w:tcPr>
            <w:tcW w:w="1215" w:type="dxa"/>
            <w:tcBorders>
              <w:top w:val="nil"/>
              <w:left w:val="nil"/>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.265</w:t>
            </w:r>
          </w:p>
        </w:tc>
        <w:tc>
          <w:tcPr>
            <w:tcW w:w="866" w:type="dxa"/>
            <w:tcBorders>
              <w:top w:val="nil"/>
              <w:left w:val="nil"/>
              <w:bottom w:val="nil"/>
              <w:right w:val="single" w:color="000000" w:sz="12"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0.107</w:t>
            </w:r>
          </w:p>
        </w:tc>
      </w:tr>
      <w:tr>
        <w:tblPrEx>
          <w:tblLayout w:type="fixed"/>
          <w:tblCellMar>
            <w:top w:w="0" w:type="dxa"/>
            <w:left w:w="108" w:type="dxa"/>
            <w:bottom w:w="0" w:type="dxa"/>
            <w:right w:w="108" w:type="dxa"/>
          </w:tblCellMar>
        </w:tblPrEx>
        <w:trPr>
          <w:trHeight w:val="312" w:hRule="atLeast"/>
        </w:trPr>
        <w:tc>
          <w:tcPr>
            <w:tcW w:w="2151" w:type="dxa"/>
            <w:tcBorders>
              <w:top w:val="nil"/>
              <w:left w:val="single" w:color="000000" w:sz="12" w:space="0"/>
              <w:bottom w:val="nil"/>
              <w:right w:val="single" w:color="000000" w:sz="12"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专业设置</w:t>
            </w:r>
          </w:p>
        </w:tc>
        <w:tc>
          <w:tcPr>
            <w:tcW w:w="748" w:type="dxa"/>
            <w:tcBorders>
              <w:top w:val="nil"/>
              <w:left w:val="single" w:color="000000" w:sz="4" w:space="0"/>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3.62</w:t>
            </w:r>
          </w:p>
        </w:tc>
        <w:tc>
          <w:tcPr>
            <w:tcW w:w="1215" w:type="dxa"/>
            <w:tcBorders>
              <w:top w:val="nil"/>
              <w:left w:val="nil"/>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.020</w:t>
            </w:r>
          </w:p>
        </w:tc>
        <w:tc>
          <w:tcPr>
            <w:tcW w:w="1215" w:type="dxa"/>
            <w:tcBorders>
              <w:top w:val="nil"/>
              <w:left w:val="nil"/>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.932</w:t>
            </w:r>
          </w:p>
        </w:tc>
        <w:tc>
          <w:tcPr>
            <w:tcW w:w="866" w:type="dxa"/>
            <w:tcBorders>
              <w:top w:val="nil"/>
              <w:left w:val="nil"/>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.868</w:t>
            </w:r>
          </w:p>
        </w:tc>
        <w:tc>
          <w:tcPr>
            <w:tcW w:w="1215" w:type="dxa"/>
            <w:tcBorders>
              <w:top w:val="nil"/>
              <w:left w:val="nil"/>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.240</w:t>
            </w:r>
          </w:p>
        </w:tc>
        <w:tc>
          <w:tcPr>
            <w:tcW w:w="866" w:type="dxa"/>
            <w:tcBorders>
              <w:top w:val="nil"/>
              <w:left w:val="nil"/>
              <w:bottom w:val="nil"/>
              <w:right w:val="single" w:color="000000" w:sz="12"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.097</w:t>
            </w:r>
          </w:p>
        </w:tc>
      </w:tr>
      <w:tr>
        <w:tblPrEx>
          <w:tblLayout w:type="fixed"/>
          <w:tblCellMar>
            <w:top w:w="0" w:type="dxa"/>
            <w:left w:w="108" w:type="dxa"/>
            <w:bottom w:w="0" w:type="dxa"/>
            <w:right w:w="108" w:type="dxa"/>
          </w:tblCellMar>
        </w:tblPrEx>
        <w:trPr>
          <w:trHeight w:val="312" w:hRule="atLeast"/>
        </w:trPr>
        <w:tc>
          <w:tcPr>
            <w:tcW w:w="2151" w:type="dxa"/>
            <w:tcBorders>
              <w:top w:val="nil"/>
              <w:left w:val="single" w:color="000000" w:sz="12" w:space="0"/>
              <w:bottom w:val="nil"/>
              <w:right w:val="single" w:color="000000" w:sz="12"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亲友推荐</w:t>
            </w:r>
          </w:p>
        </w:tc>
        <w:tc>
          <w:tcPr>
            <w:tcW w:w="748" w:type="dxa"/>
            <w:tcBorders>
              <w:top w:val="nil"/>
              <w:left w:val="single" w:color="000000" w:sz="4" w:space="0"/>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3.68</w:t>
            </w:r>
          </w:p>
        </w:tc>
        <w:tc>
          <w:tcPr>
            <w:tcW w:w="1215" w:type="dxa"/>
            <w:tcBorders>
              <w:top w:val="nil"/>
              <w:left w:val="nil"/>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.020</w:t>
            </w:r>
          </w:p>
        </w:tc>
        <w:tc>
          <w:tcPr>
            <w:tcW w:w="1215" w:type="dxa"/>
            <w:tcBorders>
              <w:top w:val="nil"/>
              <w:left w:val="nil"/>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.957</w:t>
            </w:r>
          </w:p>
        </w:tc>
        <w:tc>
          <w:tcPr>
            <w:tcW w:w="866" w:type="dxa"/>
            <w:tcBorders>
              <w:top w:val="nil"/>
              <w:left w:val="nil"/>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.915</w:t>
            </w:r>
          </w:p>
        </w:tc>
        <w:tc>
          <w:tcPr>
            <w:tcW w:w="1215" w:type="dxa"/>
            <w:tcBorders>
              <w:top w:val="nil"/>
              <w:left w:val="nil"/>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.249</w:t>
            </w:r>
          </w:p>
        </w:tc>
        <w:tc>
          <w:tcPr>
            <w:tcW w:w="866" w:type="dxa"/>
            <w:tcBorders>
              <w:top w:val="nil"/>
              <w:left w:val="nil"/>
              <w:bottom w:val="nil"/>
              <w:right w:val="single" w:color="000000" w:sz="12"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0.100</w:t>
            </w:r>
          </w:p>
        </w:tc>
      </w:tr>
      <w:tr>
        <w:tblPrEx>
          <w:tblLayout w:type="fixed"/>
          <w:tblCellMar>
            <w:top w:w="0" w:type="dxa"/>
            <w:left w:w="108" w:type="dxa"/>
            <w:bottom w:w="0" w:type="dxa"/>
            <w:right w:w="108" w:type="dxa"/>
          </w:tblCellMar>
        </w:tblPrEx>
        <w:trPr>
          <w:trHeight w:val="312" w:hRule="atLeast"/>
        </w:trPr>
        <w:tc>
          <w:tcPr>
            <w:tcW w:w="2151" w:type="dxa"/>
            <w:tcBorders>
              <w:top w:val="nil"/>
              <w:left w:val="single" w:color="000000" w:sz="12" w:space="0"/>
              <w:bottom w:val="nil"/>
              <w:right w:val="single" w:color="000000" w:sz="12"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就业/创业指导课</w:t>
            </w:r>
          </w:p>
        </w:tc>
        <w:tc>
          <w:tcPr>
            <w:tcW w:w="748" w:type="dxa"/>
            <w:tcBorders>
              <w:top w:val="nil"/>
              <w:left w:val="single" w:color="000000" w:sz="4" w:space="0"/>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3.95</w:t>
            </w:r>
          </w:p>
        </w:tc>
        <w:tc>
          <w:tcPr>
            <w:tcW w:w="1215" w:type="dxa"/>
            <w:tcBorders>
              <w:top w:val="nil"/>
              <w:left w:val="nil"/>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.020</w:t>
            </w:r>
          </w:p>
        </w:tc>
        <w:tc>
          <w:tcPr>
            <w:tcW w:w="1215" w:type="dxa"/>
            <w:tcBorders>
              <w:top w:val="nil"/>
              <w:left w:val="nil"/>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.959</w:t>
            </w:r>
          </w:p>
        </w:tc>
        <w:tc>
          <w:tcPr>
            <w:tcW w:w="866" w:type="dxa"/>
            <w:tcBorders>
              <w:top w:val="nil"/>
              <w:left w:val="nil"/>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.920</w:t>
            </w:r>
          </w:p>
        </w:tc>
        <w:tc>
          <w:tcPr>
            <w:tcW w:w="1215" w:type="dxa"/>
            <w:tcBorders>
              <w:top w:val="nil"/>
              <w:left w:val="nil"/>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.233</w:t>
            </w:r>
          </w:p>
        </w:tc>
        <w:tc>
          <w:tcPr>
            <w:tcW w:w="866" w:type="dxa"/>
            <w:tcBorders>
              <w:top w:val="nil"/>
              <w:left w:val="nil"/>
              <w:bottom w:val="nil"/>
              <w:right w:val="single" w:color="000000" w:sz="12"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0.094</w:t>
            </w:r>
          </w:p>
        </w:tc>
      </w:tr>
      <w:tr>
        <w:tblPrEx>
          <w:tblLayout w:type="fixed"/>
          <w:tblCellMar>
            <w:top w:w="0" w:type="dxa"/>
            <w:left w:w="108" w:type="dxa"/>
            <w:bottom w:w="0" w:type="dxa"/>
            <w:right w:w="108" w:type="dxa"/>
          </w:tblCellMar>
        </w:tblPrEx>
        <w:trPr>
          <w:trHeight w:val="312" w:hRule="atLeast"/>
        </w:trPr>
        <w:tc>
          <w:tcPr>
            <w:tcW w:w="2151" w:type="dxa"/>
            <w:tcBorders>
              <w:top w:val="nil"/>
              <w:left w:val="single" w:color="000000" w:sz="12" w:space="0"/>
              <w:bottom w:val="nil"/>
              <w:right w:val="single" w:color="000000" w:sz="12"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职业咨询/辅导</w:t>
            </w:r>
          </w:p>
        </w:tc>
        <w:tc>
          <w:tcPr>
            <w:tcW w:w="748" w:type="dxa"/>
            <w:tcBorders>
              <w:top w:val="nil"/>
              <w:left w:val="single" w:color="000000" w:sz="4" w:space="0"/>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3.84</w:t>
            </w:r>
          </w:p>
        </w:tc>
        <w:tc>
          <w:tcPr>
            <w:tcW w:w="1215" w:type="dxa"/>
            <w:tcBorders>
              <w:top w:val="nil"/>
              <w:left w:val="nil"/>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.022</w:t>
            </w:r>
          </w:p>
        </w:tc>
        <w:tc>
          <w:tcPr>
            <w:tcW w:w="1215" w:type="dxa"/>
            <w:tcBorders>
              <w:top w:val="nil"/>
              <w:left w:val="nil"/>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1.016</w:t>
            </w:r>
          </w:p>
        </w:tc>
        <w:tc>
          <w:tcPr>
            <w:tcW w:w="866" w:type="dxa"/>
            <w:tcBorders>
              <w:top w:val="nil"/>
              <w:left w:val="nil"/>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1.032</w:t>
            </w:r>
          </w:p>
        </w:tc>
        <w:tc>
          <w:tcPr>
            <w:tcW w:w="1215" w:type="dxa"/>
            <w:tcBorders>
              <w:top w:val="nil"/>
              <w:left w:val="nil"/>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.269</w:t>
            </w:r>
          </w:p>
        </w:tc>
        <w:tc>
          <w:tcPr>
            <w:tcW w:w="866" w:type="dxa"/>
            <w:tcBorders>
              <w:top w:val="nil"/>
              <w:left w:val="nil"/>
              <w:bottom w:val="nil"/>
              <w:right w:val="single" w:color="000000" w:sz="12"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0.109</w:t>
            </w:r>
          </w:p>
        </w:tc>
      </w:tr>
      <w:tr>
        <w:tblPrEx>
          <w:tblLayout w:type="fixed"/>
          <w:tblCellMar>
            <w:top w:w="0" w:type="dxa"/>
            <w:left w:w="108" w:type="dxa"/>
            <w:bottom w:w="0" w:type="dxa"/>
            <w:right w:w="108" w:type="dxa"/>
          </w:tblCellMar>
        </w:tblPrEx>
        <w:trPr>
          <w:trHeight w:val="312" w:hRule="atLeast"/>
        </w:trPr>
        <w:tc>
          <w:tcPr>
            <w:tcW w:w="2151" w:type="dxa"/>
            <w:tcBorders>
              <w:top w:val="nil"/>
              <w:left w:val="single" w:color="000000" w:sz="12" w:space="0"/>
              <w:bottom w:val="nil"/>
              <w:right w:val="single" w:color="000000" w:sz="12"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校园招聘活动</w:t>
            </w:r>
          </w:p>
        </w:tc>
        <w:tc>
          <w:tcPr>
            <w:tcW w:w="748" w:type="dxa"/>
            <w:tcBorders>
              <w:top w:val="nil"/>
              <w:left w:val="single" w:color="000000" w:sz="4" w:space="0"/>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4.09</w:t>
            </w:r>
          </w:p>
        </w:tc>
        <w:tc>
          <w:tcPr>
            <w:tcW w:w="1215" w:type="dxa"/>
            <w:tcBorders>
              <w:top w:val="nil"/>
              <w:left w:val="nil"/>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.019</w:t>
            </w:r>
          </w:p>
        </w:tc>
        <w:tc>
          <w:tcPr>
            <w:tcW w:w="1215" w:type="dxa"/>
            <w:tcBorders>
              <w:top w:val="nil"/>
              <w:left w:val="nil"/>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.886</w:t>
            </w:r>
          </w:p>
        </w:tc>
        <w:tc>
          <w:tcPr>
            <w:tcW w:w="866" w:type="dxa"/>
            <w:tcBorders>
              <w:top w:val="nil"/>
              <w:left w:val="nil"/>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.785</w:t>
            </w:r>
          </w:p>
        </w:tc>
        <w:tc>
          <w:tcPr>
            <w:tcW w:w="1215" w:type="dxa"/>
            <w:tcBorders>
              <w:top w:val="nil"/>
              <w:left w:val="nil"/>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.192</w:t>
            </w:r>
          </w:p>
        </w:tc>
        <w:tc>
          <w:tcPr>
            <w:tcW w:w="866" w:type="dxa"/>
            <w:tcBorders>
              <w:top w:val="nil"/>
              <w:left w:val="nil"/>
              <w:bottom w:val="nil"/>
              <w:right w:val="single" w:color="000000" w:sz="12"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0.077</w:t>
            </w:r>
          </w:p>
        </w:tc>
      </w:tr>
      <w:tr>
        <w:tblPrEx>
          <w:tblLayout w:type="fixed"/>
          <w:tblCellMar>
            <w:top w:w="0" w:type="dxa"/>
            <w:left w:w="108" w:type="dxa"/>
            <w:bottom w:w="0" w:type="dxa"/>
            <w:right w:w="108" w:type="dxa"/>
          </w:tblCellMar>
        </w:tblPrEx>
        <w:trPr>
          <w:trHeight w:val="312" w:hRule="atLeast"/>
        </w:trPr>
        <w:tc>
          <w:tcPr>
            <w:tcW w:w="2151" w:type="dxa"/>
            <w:tcBorders>
              <w:top w:val="nil"/>
              <w:left w:val="single" w:color="000000" w:sz="12" w:space="0"/>
              <w:bottom w:val="nil"/>
              <w:right w:val="single" w:color="000000" w:sz="12"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就业手续办理</w:t>
            </w:r>
          </w:p>
        </w:tc>
        <w:tc>
          <w:tcPr>
            <w:tcW w:w="748" w:type="dxa"/>
            <w:tcBorders>
              <w:top w:val="nil"/>
              <w:left w:val="single" w:color="000000" w:sz="4" w:space="0"/>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3.91</w:t>
            </w:r>
          </w:p>
        </w:tc>
        <w:tc>
          <w:tcPr>
            <w:tcW w:w="1215" w:type="dxa"/>
            <w:tcBorders>
              <w:top w:val="nil"/>
              <w:left w:val="nil"/>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.021</w:t>
            </w:r>
          </w:p>
        </w:tc>
        <w:tc>
          <w:tcPr>
            <w:tcW w:w="1215" w:type="dxa"/>
            <w:tcBorders>
              <w:top w:val="nil"/>
              <w:left w:val="nil"/>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.978</w:t>
            </w:r>
          </w:p>
        </w:tc>
        <w:tc>
          <w:tcPr>
            <w:tcW w:w="866" w:type="dxa"/>
            <w:tcBorders>
              <w:top w:val="nil"/>
              <w:left w:val="nil"/>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.957</w:t>
            </w:r>
          </w:p>
        </w:tc>
        <w:tc>
          <w:tcPr>
            <w:tcW w:w="1215" w:type="dxa"/>
            <w:tcBorders>
              <w:top w:val="nil"/>
              <w:left w:val="nil"/>
              <w:bottom w:val="nil"/>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.245</w:t>
            </w:r>
          </w:p>
        </w:tc>
        <w:tc>
          <w:tcPr>
            <w:tcW w:w="866" w:type="dxa"/>
            <w:tcBorders>
              <w:top w:val="nil"/>
              <w:left w:val="nil"/>
              <w:bottom w:val="nil"/>
              <w:right w:val="single" w:color="000000" w:sz="12"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0.099</w:t>
            </w:r>
          </w:p>
        </w:tc>
      </w:tr>
      <w:tr>
        <w:tblPrEx>
          <w:tblLayout w:type="fixed"/>
          <w:tblCellMar>
            <w:top w:w="0" w:type="dxa"/>
            <w:left w:w="108" w:type="dxa"/>
            <w:bottom w:w="0" w:type="dxa"/>
            <w:right w:w="108" w:type="dxa"/>
          </w:tblCellMar>
        </w:tblPrEx>
        <w:trPr>
          <w:trHeight w:val="312" w:hRule="atLeast"/>
        </w:trPr>
        <w:tc>
          <w:tcPr>
            <w:tcW w:w="2151" w:type="dxa"/>
            <w:tcBorders>
              <w:top w:val="nil"/>
              <w:left w:val="single" w:color="000000" w:sz="12" w:space="0"/>
              <w:bottom w:val="single" w:color="000000" w:sz="12" w:space="0"/>
              <w:right w:val="single" w:color="000000" w:sz="12"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就业困难群体帮扶</w:t>
            </w:r>
          </w:p>
        </w:tc>
        <w:tc>
          <w:tcPr>
            <w:tcW w:w="748" w:type="dxa"/>
            <w:tcBorders>
              <w:top w:val="nil"/>
              <w:left w:val="single" w:color="000000" w:sz="4" w:space="0"/>
              <w:bottom w:val="single" w:color="000000" w:sz="12" w:space="0"/>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3.92</w:t>
            </w:r>
          </w:p>
        </w:tc>
        <w:tc>
          <w:tcPr>
            <w:tcW w:w="1215" w:type="dxa"/>
            <w:tcBorders>
              <w:top w:val="nil"/>
              <w:left w:val="nil"/>
              <w:bottom w:val="single" w:color="000000" w:sz="12" w:space="0"/>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.021</w:t>
            </w:r>
          </w:p>
        </w:tc>
        <w:tc>
          <w:tcPr>
            <w:tcW w:w="1215" w:type="dxa"/>
            <w:tcBorders>
              <w:top w:val="nil"/>
              <w:left w:val="nil"/>
              <w:bottom w:val="single" w:color="000000" w:sz="12" w:space="0"/>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1.005</w:t>
            </w:r>
          </w:p>
        </w:tc>
        <w:tc>
          <w:tcPr>
            <w:tcW w:w="866" w:type="dxa"/>
            <w:tcBorders>
              <w:top w:val="nil"/>
              <w:left w:val="nil"/>
              <w:bottom w:val="single" w:color="000000" w:sz="12" w:space="0"/>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1.011</w:t>
            </w:r>
          </w:p>
        </w:tc>
        <w:tc>
          <w:tcPr>
            <w:tcW w:w="1215" w:type="dxa"/>
            <w:tcBorders>
              <w:top w:val="nil"/>
              <w:left w:val="nil"/>
              <w:bottom w:val="single" w:color="000000" w:sz="12" w:space="0"/>
              <w:right w:val="single" w:color="000000" w:sz="4"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.258</w:t>
            </w:r>
          </w:p>
        </w:tc>
        <w:tc>
          <w:tcPr>
            <w:tcW w:w="866" w:type="dxa"/>
            <w:tcBorders>
              <w:top w:val="nil"/>
              <w:left w:val="nil"/>
              <w:bottom w:val="single" w:color="000000" w:sz="12" w:space="0"/>
              <w:right w:val="single" w:color="000000" w:sz="12" w:space="0"/>
            </w:tcBorders>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0.104</w:t>
            </w:r>
          </w:p>
        </w:tc>
      </w:tr>
    </w:tbl>
    <w:p>
      <w:pPr>
        <w:spacing w:before="156" w:after="156"/>
      </w:pPr>
    </w:p>
    <w:p>
      <w:pPr>
        <w:pStyle w:val="33"/>
      </w:pPr>
      <w:bookmarkStart w:id="278" w:name="_Toc469038414"/>
      <w:r>
        <w:rPr>
          <w:rFonts w:hint="eastAsia"/>
        </w:rPr>
        <w:t>2.综合</w:t>
      </w:r>
      <w:r>
        <w:t>得分</w:t>
      </w:r>
      <w:bookmarkEnd w:id="278"/>
    </w:p>
    <w:p>
      <w:pPr>
        <w:pStyle w:val="40"/>
      </w:pPr>
      <w:r>
        <w:rPr>
          <w:rFonts w:hint="eastAsia"/>
        </w:rPr>
        <w:t>根据</w:t>
      </w:r>
      <w:r>
        <w:t>计算得到的各指标权重，计算</w:t>
      </w:r>
      <w:r>
        <w:rPr>
          <w:rFonts w:hint="eastAsia"/>
        </w:rPr>
        <w:t>毕业生对</w:t>
      </w:r>
      <w:r>
        <w:t>学校的综合满意度得分为75.15</w:t>
      </w:r>
      <w:r>
        <w:rPr>
          <w:rFonts w:hint="eastAsia"/>
        </w:rPr>
        <w:t>分（百分制）。</w:t>
      </w:r>
    </w:p>
    <w:p>
      <w:pPr>
        <w:pStyle w:val="30"/>
      </w:pPr>
      <w:bookmarkStart w:id="279" w:name="_Toc471310976"/>
      <w:bookmarkStart w:id="280" w:name="_Toc469038415"/>
      <w:r>
        <w:rPr>
          <w:rFonts w:hint="eastAsia"/>
        </w:rPr>
        <w:t>（四）结论反馈</w:t>
      </w:r>
      <w:bookmarkEnd w:id="279"/>
      <w:bookmarkEnd w:id="280"/>
    </w:p>
    <w:p>
      <w:pPr>
        <w:spacing w:before="156" w:after="156"/>
        <w:jc w:val="center"/>
      </w:pPr>
      <w:r>
        <w:drawing>
          <wp:inline distT="0" distB="0" distL="0" distR="0">
            <wp:extent cx="4867275" cy="2890520"/>
            <wp:effectExtent l="0" t="0" r="9525" b="5080"/>
            <wp:docPr id="47" name="图表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pPr>
        <w:pStyle w:val="8"/>
        <w:jc w:val="center"/>
        <w:rPr>
          <w:rFonts w:asciiTheme="minorEastAsia" w:hAnsiTheme="minorEastAsia" w:eastAsiaTheme="minorEastAsia"/>
          <w:sz w:val="18"/>
        </w:rPr>
      </w:pPr>
      <w:bookmarkStart w:id="281" w:name="_Toc470887002"/>
      <w:r>
        <w:rPr>
          <w:rFonts w:hint="eastAsia" w:asciiTheme="minorEastAsia" w:hAnsiTheme="minorEastAsia" w:eastAsiaTheme="minorEastAsia"/>
          <w:sz w:val="18"/>
        </w:rPr>
        <w:t>图6-</w:t>
      </w:r>
      <w:r>
        <w:rPr>
          <w:rFonts w:asciiTheme="minorEastAsia" w:hAnsiTheme="minorEastAsia" w:eastAsiaTheme="minorEastAsia"/>
          <w:sz w:val="18"/>
        </w:rPr>
        <w:fldChar w:fldCharType="begin"/>
      </w:r>
      <w:r>
        <w:rPr>
          <w:rFonts w:asciiTheme="minorEastAsia" w:hAnsiTheme="minorEastAsia" w:eastAsiaTheme="minorEastAsia"/>
          <w:sz w:val="18"/>
        </w:rPr>
        <w:instrText xml:space="preserve"> </w:instrText>
      </w:r>
      <w:r>
        <w:rPr>
          <w:rFonts w:hint="eastAsia" w:asciiTheme="minorEastAsia" w:hAnsiTheme="minorEastAsia" w:eastAsiaTheme="minorEastAsia"/>
          <w:sz w:val="18"/>
        </w:rPr>
        <w:instrText xml:space="preserve">SEQ 图6- \* ARABIC</w:instrText>
      </w:r>
      <w:r>
        <w:rPr>
          <w:rFonts w:asciiTheme="minorEastAsia" w:hAnsiTheme="minorEastAsia" w:eastAsiaTheme="minorEastAsia"/>
          <w:sz w:val="18"/>
        </w:rPr>
        <w:instrText xml:space="preserve"> </w:instrText>
      </w:r>
      <w:r>
        <w:rPr>
          <w:rFonts w:asciiTheme="minorEastAsia" w:hAnsiTheme="minorEastAsia" w:eastAsiaTheme="minorEastAsia"/>
          <w:sz w:val="18"/>
        </w:rPr>
        <w:fldChar w:fldCharType="separate"/>
      </w:r>
      <w:r>
        <w:rPr>
          <w:rFonts w:asciiTheme="minorEastAsia" w:hAnsiTheme="minorEastAsia" w:eastAsiaTheme="minorEastAsia"/>
          <w:sz w:val="18"/>
        </w:rPr>
        <w:t>6</w:t>
      </w:r>
      <w:r>
        <w:rPr>
          <w:rFonts w:asciiTheme="minorEastAsia" w:hAnsiTheme="minorEastAsia" w:eastAsiaTheme="minorEastAsia"/>
          <w:sz w:val="18"/>
        </w:rPr>
        <w:fldChar w:fldCharType="end"/>
      </w:r>
      <w:r>
        <w:rPr>
          <w:rFonts w:asciiTheme="minorEastAsia" w:hAnsiTheme="minorEastAsia" w:eastAsiaTheme="minorEastAsia"/>
          <w:sz w:val="18"/>
        </w:rPr>
        <w:t xml:space="preserve"> </w:t>
      </w:r>
      <w:r>
        <w:rPr>
          <w:rFonts w:hint="eastAsia" w:asciiTheme="minorEastAsia" w:hAnsiTheme="minorEastAsia" w:eastAsiaTheme="minorEastAsia"/>
          <w:sz w:val="18"/>
        </w:rPr>
        <w:t>各指标</w:t>
      </w:r>
      <w:r>
        <w:rPr>
          <w:rFonts w:asciiTheme="minorEastAsia" w:hAnsiTheme="minorEastAsia" w:eastAsiaTheme="minorEastAsia"/>
          <w:sz w:val="18"/>
        </w:rPr>
        <w:t>重要性</w:t>
      </w:r>
      <w:bookmarkEnd w:id="281"/>
    </w:p>
    <w:p>
      <w:pPr>
        <w:pStyle w:val="40"/>
      </w:pPr>
      <w:r>
        <w:rPr>
          <w:rFonts w:hint="eastAsia"/>
        </w:rPr>
        <w:t>通过</w:t>
      </w:r>
      <w:r>
        <w:t>各个指标重要性比较</w:t>
      </w:r>
      <w:r>
        <w:rPr>
          <w:rFonts w:hint="eastAsia"/>
        </w:rPr>
        <w:t>（为保证</w:t>
      </w:r>
      <w:r>
        <w:t>小数点后</w:t>
      </w:r>
      <w:r>
        <w:rPr>
          <w:rFonts w:hint="eastAsia"/>
        </w:rPr>
        <w:t>更多</w:t>
      </w:r>
      <w:r>
        <w:t>数位的精确度</w:t>
      </w:r>
      <w:r>
        <w:rPr>
          <w:rFonts w:hint="eastAsia"/>
        </w:rPr>
        <w:t>，</w:t>
      </w:r>
      <w:r>
        <w:t>这里</w:t>
      </w:r>
      <w:r>
        <w:rPr>
          <w:rFonts w:hint="eastAsia"/>
        </w:rPr>
        <w:t>其</w:t>
      </w:r>
      <w:r>
        <w:t>权重都以百分比</w:t>
      </w:r>
      <w:r>
        <w:rPr>
          <w:rFonts w:hint="eastAsia"/>
        </w:rPr>
        <w:t>保留</w:t>
      </w:r>
      <w:r>
        <w:t>两位小数</w:t>
      </w:r>
      <w:r>
        <w:rPr>
          <w:rFonts w:hint="eastAsia"/>
        </w:rPr>
        <w:t>形式</w:t>
      </w:r>
      <w:r>
        <w:t>表示</w:t>
      </w:r>
      <w:r>
        <w:rPr>
          <w:rFonts w:hint="eastAsia"/>
        </w:rPr>
        <w:t>，</w:t>
      </w:r>
      <w:r>
        <w:t>以下</w:t>
      </w:r>
      <w:r>
        <w:rPr>
          <w:rFonts w:hint="eastAsia"/>
        </w:rPr>
        <w:t>权重</w:t>
      </w:r>
      <w:r>
        <w:t>问题都</w:t>
      </w:r>
      <w:r>
        <w:rPr>
          <w:rFonts w:hint="eastAsia"/>
        </w:rPr>
        <w:t>将用</w:t>
      </w:r>
      <w:r>
        <w:t>此方法来处理，</w:t>
      </w:r>
      <w:r>
        <w:rPr>
          <w:rFonts w:hint="eastAsia"/>
        </w:rPr>
        <w:t>下文</w:t>
      </w:r>
      <w:r>
        <w:t>不再进行阐述</w:t>
      </w:r>
      <w:r>
        <w:rPr>
          <w:rFonts w:hint="eastAsia"/>
        </w:rPr>
        <w:t>），分析得出</w:t>
      </w:r>
      <w:r>
        <w:t>实践教学、</w:t>
      </w:r>
      <w:r>
        <w:rPr>
          <w:rFonts w:hint="eastAsia"/>
        </w:rPr>
        <w:t>课程设置</w:t>
      </w:r>
      <w:r>
        <w:t>、亲友推荐、职业咨询</w:t>
      </w:r>
      <w:r>
        <w:rPr>
          <w:rFonts w:hint="eastAsia"/>
        </w:rPr>
        <w:t>/辅导、</w:t>
      </w:r>
      <w:r>
        <w:t>就业困难群体帮扶的</w:t>
      </w:r>
      <w:r>
        <w:rPr>
          <w:rFonts w:hint="eastAsia"/>
        </w:rPr>
        <w:t>重要性都高于平均</w:t>
      </w:r>
      <w:r>
        <w:t>重要性</w:t>
      </w:r>
      <w:r>
        <w:rPr>
          <w:rFonts w:hint="eastAsia"/>
        </w:rPr>
        <w:t>，而老师授课</w:t>
      </w:r>
      <w:r>
        <w:t>、专业设置、</w:t>
      </w:r>
      <w:r>
        <w:rPr>
          <w:rFonts w:hint="eastAsia"/>
        </w:rPr>
        <w:t>就业/创业</w:t>
      </w:r>
      <w:r>
        <w:t>指导课、校园招聘活动</w:t>
      </w:r>
      <w:r>
        <w:rPr>
          <w:rFonts w:hint="eastAsia"/>
        </w:rPr>
        <w:t>、</w:t>
      </w:r>
      <w:r>
        <w:t>就业手续办理</w:t>
      </w:r>
      <w:r>
        <w:rPr>
          <w:rFonts w:hint="eastAsia"/>
        </w:rPr>
        <w:t>都低于</w:t>
      </w:r>
      <w:r>
        <w:t>平均重要性</w:t>
      </w:r>
      <w:r>
        <w:rPr>
          <w:rFonts w:hint="eastAsia"/>
        </w:rPr>
        <w:t>。</w:t>
      </w:r>
    </w:p>
    <w:p>
      <w:pPr>
        <w:pStyle w:val="40"/>
      </w:pPr>
      <w:r>
        <w:rPr>
          <w:rFonts w:hint="eastAsia"/>
        </w:rPr>
        <w:t>以十项</w:t>
      </w:r>
      <w:r>
        <w:t>指标的</w:t>
      </w:r>
      <w:r>
        <w:rPr>
          <w:rFonts w:hint="eastAsia"/>
        </w:rPr>
        <w:t>重要性平均值</w:t>
      </w:r>
      <w:r>
        <w:t>0.10作为</w:t>
      </w:r>
      <w:r>
        <w:rPr>
          <w:rFonts w:hint="eastAsia"/>
        </w:rPr>
        <w:t>纵</w:t>
      </w:r>
      <w:r>
        <w:t>坐标</w:t>
      </w:r>
      <w:r>
        <w:rPr>
          <w:rFonts w:hint="eastAsia"/>
        </w:rPr>
        <w:t>，</w:t>
      </w:r>
      <w:r>
        <w:t>满意度的平均值3.77作为</w:t>
      </w:r>
      <w:r>
        <w:rPr>
          <w:rFonts w:hint="eastAsia"/>
        </w:rPr>
        <w:t>横</w:t>
      </w:r>
      <w:r>
        <w:t>坐标</w:t>
      </w:r>
      <w:r>
        <w:rPr>
          <w:rFonts w:hint="eastAsia"/>
        </w:rPr>
        <w:t>，</w:t>
      </w:r>
      <w:r>
        <w:t>如图</w:t>
      </w:r>
      <w:r>
        <w:rPr>
          <w:rFonts w:hint="eastAsia"/>
        </w:rPr>
        <w:t>6</w:t>
      </w:r>
      <w:r>
        <w:t>-7</w:t>
      </w:r>
      <w:r>
        <w:rPr>
          <w:rFonts w:hint="eastAsia"/>
        </w:rPr>
        <w:t>所示</w:t>
      </w:r>
      <w:r>
        <w:t>：</w:t>
      </w:r>
    </w:p>
    <w:p>
      <w:pPr>
        <w:spacing w:before="156" w:after="156"/>
        <w:jc w:val="center"/>
      </w:pPr>
      <w:r>
        <w:drawing>
          <wp:inline distT="0" distB="0" distL="0" distR="0">
            <wp:extent cx="5181600" cy="3086100"/>
            <wp:effectExtent l="0" t="0" r="0" b="0"/>
            <wp:docPr id="48"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pPr>
        <w:pStyle w:val="8"/>
        <w:jc w:val="center"/>
        <w:rPr>
          <w:rFonts w:asciiTheme="minorEastAsia" w:hAnsiTheme="minorEastAsia" w:eastAsiaTheme="minorEastAsia"/>
          <w:sz w:val="18"/>
        </w:rPr>
      </w:pPr>
      <w:bookmarkStart w:id="282" w:name="_Toc470887003"/>
      <w:r>
        <w:rPr>
          <w:rFonts w:hint="eastAsia" w:asciiTheme="minorEastAsia" w:hAnsiTheme="minorEastAsia" w:eastAsiaTheme="minorEastAsia"/>
          <w:sz w:val="18"/>
        </w:rPr>
        <w:t>图6-</w:t>
      </w:r>
      <w:r>
        <w:rPr>
          <w:rFonts w:asciiTheme="minorEastAsia" w:hAnsiTheme="minorEastAsia" w:eastAsiaTheme="minorEastAsia"/>
          <w:sz w:val="18"/>
        </w:rPr>
        <w:fldChar w:fldCharType="begin"/>
      </w:r>
      <w:r>
        <w:rPr>
          <w:rFonts w:asciiTheme="minorEastAsia" w:hAnsiTheme="minorEastAsia" w:eastAsiaTheme="minorEastAsia"/>
          <w:sz w:val="18"/>
        </w:rPr>
        <w:instrText xml:space="preserve"> </w:instrText>
      </w:r>
      <w:r>
        <w:rPr>
          <w:rFonts w:hint="eastAsia" w:asciiTheme="minorEastAsia" w:hAnsiTheme="minorEastAsia" w:eastAsiaTheme="minorEastAsia"/>
          <w:sz w:val="18"/>
        </w:rPr>
        <w:instrText xml:space="preserve">SEQ 图6- \* ARABIC</w:instrText>
      </w:r>
      <w:r>
        <w:rPr>
          <w:rFonts w:asciiTheme="minorEastAsia" w:hAnsiTheme="minorEastAsia" w:eastAsiaTheme="minorEastAsia"/>
          <w:sz w:val="18"/>
        </w:rPr>
        <w:instrText xml:space="preserve"> </w:instrText>
      </w:r>
      <w:r>
        <w:rPr>
          <w:rFonts w:asciiTheme="minorEastAsia" w:hAnsiTheme="minorEastAsia" w:eastAsiaTheme="minorEastAsia"/>
          <w:sz w:val="18"/>
        </w:rPr>
        <w:fldChar w:fldCharType="separate"/>
      </w:r>
      <w:r>
        <w:rPr>
          <w:rFonts w:asciiTheme="minorEastAsia" w:hAnsiTheme="minorEastAsia" w:eastAsiaTheme="minorEastAsia"/>
          <w:sz w:val="18"/>
        </w:rPr>
        <w:t>7</w:t>
      </w:r>
      <w:r>
        <w:rPr>
          <w:rFonts w:asciiTheme="minorEastAsia" w:hAnsiTheme="minorEastAsia" w:eastAsiaTheme="minorEastAsia"/>
          <w:sz w:val="18"/>
        </w:rPr>
        <w:fldChar w:fldCharType="end"/>
      </w:r>
      <w:r>
        <w:rPr>
          <w:rFonts w:asciiTheme="minorEastAsia" w:hAnsiTheme="minorEastAsia" w:eastAsiaTheme="minorEastAsia"/>
          <w:sz w:val="18"/>
        </w:rPr>
        <w:t xml:space="preserve"> </w:t>
      </w:r>
      <w:r>
        <w:rPr>
          <w:rFonts w:hint="eastAsia" w:asciiTheme="minorEastAsia" w:hAnsiTheme="minorEastAsia" w:eastAsiaTheme="minorEastAsia"/>
          <w:sz w:val="18"/>
        </w:rPr>
        <w:t>重要性</w:t>
      </w:r>
      <w:r>
        <w:rPr>
          <w:rFonts w:asciiTheme="minorEastAsia" w:hAnsiTheme="minorEastAsia" w:eastAsiaTheme="minorEastAsia"/>
          <w:sz w:val="18"/>
        </w:rPr>
        <w:t>-满意度四象限图</w:t>
      </w:r>
      <w:bookmarkEnd w:id="282"/>
    </w:p>
    <w:p>
      <w:pPr>
        <w:pStyle w:val="40"/>
      </w:pPr>
      <w:r>
        <w:rPr>
          <w:rFonts w:hint="eastAsia"/>
        </w:rPr>
        <w:t>第一象限为重要性高满意度高区域（</w:t>
      </w:r>
      <w:r>
        <w:t>优势</w:t>
      </w:r>
      <w:r>
        <w:rPr>
          <w:rFonts w:hint="eastAsia"/>
        </w:rPr>
        <w:t>区域），职业咨询/辅导</w:t>
      </w:r>
      <w:r>
        <w:t>、</w:t>
      </w:r>
      <w:r>
        <w:rPr>
          <w:rFonts w:hint="eastAsia"/>
        </w:rPr>
        <w:t>就业</w:t>
      </w:r>
      <w:r>
        <w:t>困难群体帮扶</w:t>
      </w:r>
      <w:r>
        <w:rPr>
          <w:rFonts w:hint="eastAsia"/>
        </w:rPr>
        <w:t>落入</w:t>
      </w:r>
      <w:r>
        <w:t>这个象限</w:t>
      </w:r>
      <w:r>
        <w:rPr>
          <w:rFonts w:hint="eastAsia"/>
        </w:rPr>
        <w:t>，学校</w:t>
      </w:r>
      <w:r>
        <w:t>应该</w:t>
      </w:r>
      <w:r>
        <w:rPr>
          <w:rFonts w:hint="eastAsia"/>
        </w:rPr>
        <w:t>继续</w:t>
      </w:r>
      <w:r>
        <w:t>保持</w:t>
      </w:r>
      <w:r>
        <w:rPr>
          <w:rFonts w:hint="eastAsia"/>
        </w:rPr>
        <w:t>并给予更多</w:t>
      </w:r>
      <w:r>
        <w:t>支持</w:t>
      </w:r>
      <w:r>
        <w:rPr>
          <w:rFonts w:hint="eastAsia"/>
        </w:rPr>
        <w:t>；第二象限为重要性高满意度低区域（即机会</w:t>
      </w:r>
      <w:r>
        <w:t>区域</w:t>
      </w:r>
      <w:r>
        <w:rPr>
          <w:rFonts w:hint="eastAsia"/>
        </w:rPr>
        <w:t>，</w:t>
      </w:r>
      <w:r>
        <w:t>优先改进）</w:t>
      </w:r>
      <w:r>
        <w:rPr>
          <w:rFonts w:hint="eastAsia"/>
        </w:rPr>
        <w:t>，落入该象限的指标包括实践教学</w:t>
      </w:r>
      <w:r>
        <w:t>、</w:t>
      </w:r>
      <w:r>
        <w:rPr>
          <w:rFonts w:hint="eastAsia"/>
        </w:rPr>
        <w:t>课程设置</w:t>
      </w:r>
      <w:r>
        <w:t>、</w:t>
      </w:r>
      <w:r>
        <w:rPr>
          <w:rFonts w:hint="eastAsia"/>
        </w:rPr>
        <w:t>亲友推荐</w:t>
      </w:r>
      <w:r>
        <w:t>，</w:t>
      </w:r>
      <w:r>
        <w:rPr>
          <w:rFonts w:hint="eastAsia"/>
        </w:rPr>
        <w:t>这几个方面学校</w:t>
      </w:r>
      <w:r>
        <w:t>必须谨慎对待</w:t>
      </w:r>
      <w:r>
        <w:rPr>
          <w:rFonts w:hint="eastAsia"/>
        </w:rPr>
        <w:t>，</w:t>
      </w:r>
      <w:r>
        <w:t>要抓住机会</w:t>
      </w:r>
      <w:r>
        <w:rPr>
          <w:rFonts w:hint="eastAsia"/>
        </w:rPr>
        <w:t>提高</w:t>
      </w:r>
      <w:r>
        <w:t>落入该象限的指标满意度</w:t>
      </w:r>
      <w:r>
        <w:rPr>
          <w:rFonts w:hint="eastAsia"/>
        </w:rPr>
        <w:t>；第三象限为重要性低满意度低区域（即</w:t>
      </w:r>
      <w:r>
        <w:t>劣势区）</w:t>
      </w:r>
      <w:r>
        <w:rPr>
          <w:rFonts w:hint="eastAsia"/>
        </w:rPr>
        <w:t>，</w:t>
      </w:r>
      <w:r>
        <w:t>专业设置和</w:t>
      </w:r>
      <w:r>
        <w:rPr>
          <w:rFonts w:hint="eastAsia"/>
        </w:rPr>
        <w:t>老师授课落入这个</w:t>
      </w:r>
      <w:r>
        <w:t>象限</w:t>
      </w:r>
      <w:r>
        <w:rPr>
          <w:rFonts w:hint="eastAsia"/>
        </w:rPr>
        <w:t>；第四象限为重要性低满意度高区域（即为挑战区域），落入这个</w:t>
      </w:r>
      <w:r>
        <w:t>区域的</w:t>
      </w:r>
      <w:r>
        <w:rPr>
          <w:rFonts w:hint="eastAsia"/>
        </w:rPr>
        <w:t>指标是就业手续办理</w:t>
      </w:r>
      <w:r>
        <w:t>、就业</w:t>
      </w:r>
      <w:r>
        <w:rPr>
          <w:rFonts w:hint="eastAsia"/>
        </w:rPr>
        <w:t>/创业</w:t>
      </w:r>
      <w:r>
        <w:t>指导课、</w:t>
      </w:r>
      <w:r>
        <w:rPr>
          <w:rFonts w:hint="eastAsia"/>
        </w:rPr>
        <w:t>校园招聘</w:t>
      </w:r>
      <w:r>
        <w:t>活动，</w:t>
      </w:r>
      <w:r>
        <w:rPr>
          <w:rFonts w:hint="eastAsia"/>
        </w:rPr>
        <w:t>对于该象限</w:t>
      </w:r>
      <w:r>
        <w:t>的指标</w:t>
      </w:r>
      <w:r>
        <w:rPr>
          <w:rFonts w:hint="eastAsia"/>
        </w:rPr>
        <w:t>，</w:t>
      </w:r>
      <w:r>
        <w:t>学校可能花费了更多的时间、资金和资源，</w:t>
      </w:r>
      <w:r>
        <w:rPr>
          <w:rFonts w:hint="eastAsia"/>
        </w:rPr>
        <w:t>未来工作中</w:t>
      </w:r>
      <w:r>
        <w:t>，学校应</w:t>
      </w:r>
      <w:r>
        <w:rPr>
          <w:rFonts w:hint="eastAsia"/>
        </w:rPr>
        <w:t>合理地</w:t>
      </w:r>
      <w:r>
        <w:t>将资源</w:t>
      </w:r>
      <w:r>
        <w:rPr>
          <w:rFonts w:hint="eastAsia"/>
        </w:rPr>
        <w:t>从</w:t>
      </w:r>
      <w:r>
        <w:t>这些工作中</w:t>
      </w:r>
      <w:r>
        <w:rPr>
          <w:rFonts w:hint="eastAsia"/>
        </w:rPr>
        <w:t>转向</w:t>
      </w:r>
      <w:r>
        <w:t>其他更重要的</w:t>
      </w:r>
      <w:r>
        <w:rPr>
          <w:rFonts w:hint="eastAsia"/>
        </w:rPr>
        <w:t>培养</w:t>
      </w:r>
      <w:r>
        <w:t>工作上。</w:t>
      </w:r>
    </w:p>
    <w:p>
      <w:pPr>
        <w:pStyle w:val="25"/>
      </w:pPr>
      <w:bookmarkStart w:id="283" w:name="_Toc471310977"/>
      <w:bookmarkStart w:id="284" w:name="_Toc469038416"/>
      <w:r>
        <w:rPr>
          <w:rFonts w:hint="eastAsia"/>
        </w:rPr>
        <w:t>三、用人单位</w:t>
      </w:r>
      <w:r>
        <w:t>基本情况</w:t>
      </w:r>
      <w:bookmarkEnd w:id="283"/>
      <w:bookmarkEnd w:id="284"/>
    </w:p>
    <w:p>
      <w:pPr>
        <w:pStyle w:val="40"/>
      </w:pPr>
      <w:r>
        <w:rPr>
          <w:rFonts w:hint="eastAsia"/>
        </w:rPr>
        <w:t>本次用人单位调研总共回收有效数据</w:t>
      </w:r>
      <w:r>
        <w:t>47</w:t>
      </w:r>
      <w:r>
        <w:rPr>
          <w:rFonts w:hint="eastAsia"/>
        </w:rPr>
        <w:t>条。</w:t>
      </w:r>
    </w:p>
    <w:p>
      <w:pPr>
        <w:pStyle w:val="30"/>
      </w:pPr>
      <w:bookmarkStart w:id="285" w:name="_Toc469038417"/>
      <w:bookmarkStart w:id="286" w:name="_Toc471310978"/>
      <w:r>
        <w:rPr>
          <w:rFonts w:hint="eastAsia"/>
        </w:rPr>
        <w:t>（一）用人单位</w:t>
      </w:r>
      <w:r>
        <w:t>规模</w:t>
      </w:r>
      <w:bookmarkEnd w:id="285"/>
      <w:bookmarkEnd w:id="286"/>
    </w:p>
    <w:p>
      <w:pPr>
        <w:pStyle w:val="40"/>
      </w:pPr>
      <w:r>
        <w:rPr>
          <w:rFonts w:hint="eastAsia"/>
        </w:rPr>
        <w:t>通过</w:t>
      </w:r>
      <w:r>
        <w:t>对用人单位进行调研，数据显示，</w:t>
      </w:r>
      <w:r>
        <w:rPr>
          <w:rFonts w:hint="eastAsia"/>
        </w:rPr>
        <w:t>来</w:t>
      </w:r>
      <w:r>
        <w:t>校招聘的用人单位</w:t>
      </w:r>
      <w:r>
        <w:rPr>
          <w:rFonts w:hint="eastAsia"/>
        </w:rPr>
        <w:t>占比</w:t>
      </w:r>
      <w:r>
        <w:t>最</w:t>
      </w:r>
      <w:r>
        <w:rPr>
          <w:rFonts w:hint="eastAsia"/>
        </w:rPr>
        <w:t>高</w:t>
      </w:r>
      <w:r>
        <w:t>的是</w:t>
      </w:r>
      <w:r>
        <w:rPr>
          <w:rFonts w:hint="eastAsia"/>
        </w:rPr>
        <w:t>规模在50</w:t>
      </w:r>
      <w:r>
        <w:t>-150</w:t>
      </w:r>
      <w:r>
        <w:rPr>
          <w:rFonts w:hint="eastAsia"/>
        </w:rPr>
        <w:t>人的</w:t>
      </w:r>
      <w:r>
        <w:t>单位，其次是</w:t>
      </w:r>
      <w:r>
        <w:rPr>
          <w:rFonts w:hint="eastAsia"/>
        </w:rPr>
        <w:t>151</w:t>
      </w:r>
      <w:r>
        <w:t>-500</w:t>
      </w:r>
      <w:r>
        <w:rPr>
          <w:rFonts w:hint="eastAsia"/>
        </w:rPr>
        <w:t>人</w:t>
      </w:r>
      <w:r>
        <w:t>和</w:t>
      </w:r>
      <w:r>
        <w:rPr>
          <w:rFonts w:hint="eastAsia"/>
        </w:rPr>
        <w:t>1001</w:t>
      </w:r>
      <w:r>
        <w:t>-10000</w:t>
      </w:r>
      <w:r>
        <w:rPr>
          <w:rFonts w:hint="eastAsia"/>
        </w:rPr>
        <w:t>人</w:t>
      </w:r>
      <w:r>
        <w:t>的，</w:t>
      </w:r>
      <w:r>
        <w:rPr>
          <w:rFonts w:hint="eastAsia"/>
        </w:rPr>
        <w:t>总体而言</w:t>
      </w:r>
      <w:r>
        <w:t>，</w:t>
      </w:r>
      <w:r>
        <w:rPr>
          <w:rFonts w:hint="eastAsia"/>
        </w:rPr>
        <w:t>来校</w:t>
      </w:r>
      <w:r>
        <w:t>招聘的单位</w:t>
      </w:r>
      <w:r>
        <w:rPr>
          <w:rFonts w:hint="eastAsia"/>
        </w:rPr>
        <w:t>各种</w:t>
      </w:r>
      <w:r>
        <w:t>规模</w:t>
      </w:r>
      <w:r>
        <w:rPr>
          <w:rFonts w:hint="eastAsia"/>
        </w:rPr>
        <w:t>均有</w:t>
      </w:r>
      <w:r>
        <w:t>，</w:t>
      </w:r>
      <w:r>
        <w:rPr>
          <w:rFonts w:hint="eastAsia"/>
        </w:rPr>
        <w:t>占比差异不大</w:t>
      </w:r>
      <w:r>
        <w:t>。详见图</w:t>
      </w:r>
      <w:r>
        <w:rPr>
          <w:rFonts w:hint="eastAsia"/>
        </w:rPr>
        <w:t>6</w:t>
      </w:r>
      <w:r>
        <w:t>-8</w:t>
      </w:r>
      <w:r>
        <w:rPr>
          <w:rFonts w:hint="eastAsia"/>
        </w:rPr>
        <w:t>。</w:t>
      </w:r>
    </w:p>
    <w:p>
      <w:pPr>
        <w:jc w:val="center"/>
      </w:pPr>
      <w:r>
        <w:drawing>
          <wp:inline distT="0" distB="0" distL="0" distR="0">
            <wp:extent cx="4572000" cy="2743200"/>
            <wp:effectExtent l="0" t="0" r="0" b="0"/>
            <wp:docPr id="53" name="图表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pPr>
        <w:pStyle w:val="8"/>
        <w:jc w:val="center"/>
        <w:rPr>
          <w:rFonts w:asciiTheme="minorEastAsia" w:hAnsiTheme="minorEastAsia" w:eastAsiaTheme="minorEastAsia"/>
          <w:sz w:val="18"/>
          <w:szCs w:val="18"/>
        </w:rPr>
      </w:pPr>
      <w:bookmarkStart w:id="287" w:name="_Toc470887004"/>
      <w:r>
        <w:rPr>
          <w:rFonts w:hint="eastAsia" w:asciiTheme="minorEastAsia" w:hAnsiTheme="minorEastAsia" w:eastAsiaTheme="minorEastAsia"/>
          <w:sz w:val="18"/>
          <w:szCs w:val="18"/>
        </w:rPr>
        <w:t>图6-</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图6-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8</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用人单位</w:t>
      </w:r>
      <w:r>
        <w:rPr>
          <w:rFonts w:asciiTheme="minorEastAsia" w:hAnsiTheme="minorEastAsia" w:eastAsiaTheme="minorEastAsia"/>
          <w:sz w:val="18"/>
          <w:szCs w:val="18"/>
        </w:rPr>
        <w:t>规模</w:t>
      </w:r>
      <w:bookmarkEnd w:id="287"/>
    </w:p>
    <w:p>
      <w:pPr>
        <w:pStyle w:val="30"/>
      </w:pPr>
      <w:bookmarkStart w:id="288" w:name="_Toc469038418"/>
      <w:bookmarkStart w:id="289" w:name="_Toc471310979"/>
      <w:r>
        <w:rPr>
          <w:rFonts w:hint="eastAsia"/>
        </w:rPr>
        <w:t>（二）用人单位</w:t>
      </w:r>
      <w:r>
        <w:t>性质</w:t>
      </w:r>
      <w:bookmarkEnd w:id="288"/>
      <w:bookmarkEnd w:id="289"/>
    </w:p>
    <w:p>
      <w:pPr>
        <w:pStyle w:val="40"/>
      </w:pPr>
      <w:r>
        <w:rPr>
          <w:rFonts w:hint="eastAsia"/>
        </w:rPr>
        <w:t>根据调研</w:t>
      </w:r>
      <w:r>
        <w:t>数据，</w:t>
      </w:r>
      <w:r>
        <w:rPr>
          <w:rFonts w:hint="eastAsia"/>
        </w:rPr>
        <w:t>来校</w:t>
      </w:r>
      <w:r>
        <w:t>招聘的用人单位</w:t>
      </w:r>
      <w:r>
        <w:rPr>
          <w:rFonts w:hint="eastAsia"/>
        </w:rPr>
        <w:t>中</w:t>
      </w:r>
      <w:r>
        <w:t>，</w:t>
      </w:r>
      <w:r>
        <w:rPr>
          <w:rFonts w:hint="eastAsia"/>
        </w:rPr>
        <w:t>“民(私)营企业”最多</w:t>
      </w:r>
      <w:r>
        <w:t>，</w:t>
      </w:r>
      <w:r>
        <w:rPr>
          <w:rFonts w:hint="eastAsia"/>
        </w:rPr>
        <w:t>“外（合）资企业”最少</w:t>
      </w:r>
      <w:r>
        <w:t>。详见图</w:t>
      </w:r>
      <w:r>
        <w:rPr>
          <w:rFonts w:hint="eastAsia"/>
        </w:rPr>
        <w:t>6</w:t>
      </w:r>
      <w:r>
        <w:t>-9</w:t>
      </w:r>
      <w:r>
        <w:rPr>
          <w:rFonts w:hint="eastAsia"/>
        </w:rPr>
        <w:t>。</w:t>
      </w:r>
    </w:p>
    <w:p>
      <w:pPr>
        <w:jc w:val="center"/>
      </w:pPr>
      <w:r>
        <w:drawing>
          <wp:inline distT="0" distB="0" distL="0" distR="0">
            <wp:extent cx="4238625" cy="2419350"/>
            <wp:effectExtent l="0" t="0" r="9525" b="0"/>
            <wp:docPr id="54" name="图表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pPr>
        <w:pStyle w:val="8"/>
        <w:jc w:val="center"/>
        <w:rPr>
          <w:rFonts w:asciiTheme="minorEastAsia" w:hAnsiTheme="minorEastAsia" w:eastAsiaTheme="minorEastAsia"/>
          <w:sz w:val="18"/>
          <w:szCs w:val="18"/>
        </w:rPr>
      </w:pPr>
      <w:bookmarkStart w:id="290" w:name="_Toc470887005"/>
      <w:r>
        <w:rPr>
          <w:rFonts w:hint="eastAsia" w:asciiTheme="minorEastAsia" w:hAnsiTheme="minorEastAsia" w:eastAsiaTheme="minorEastAsia"/>
          <w:sz w:val="18"/>
          <w:szCs w:val="18"/>
        </w:rPr>
        <w:t>图6-</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图6-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9</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用人单位</w:t>
      </w:r>
      <w:r>
        <w:rPr>
          <w:rFonts w:asciiTheme="minorEastAsia" w:hAnsiTheme="minorEastAsia" w:eastAsiaTheme="minorEastAsia"/>
          <w:sz w:val="18"/>
          <w:szCs w:val="18"/>
        </w:rPr>
        <w:t>性质</w:t>
      </w:r>
      <w:bookmarkEnd w:id="290"/>
    </w:p>
    <w:p>
      <w:pPr>
        <w:pStyle w:val="30"/>
      </w:pPr>
      <w:bookmarkStart w:id="291" w:name="_Toc469038419"/>
      <w:bookmarkStart w:id="292" w:name="_Toc471310980"/>
      <w:r>
        <w:rPr>
          <w:rFonts w:hint="eastAsia"/>
        </w:rPr>
        <w:t>（三）用人单位所属</w:t>
      </w:r>
      <w:r>
        <w:t>行业</w:t>
      </w:r>
      <w:bookmarkEnd w:id="291"/>
      <w:bookmarkEnd w:id="292"/>
    </w:p>
    <w:p>
      <w:pPr>
        <w:pStyle w:val="40"/>
      </w:pPr>
      <w:r>
        <w:rPr>
          <w:rFonts w:hint="eastAsia"/>
        </w:rPr>
        <w:t>调研数据</w:t>
      </w:r>
      <w:r>
        <w:t>显示，</w:t>
      </w:r>
      <w:r>
        <w:rPr>
          <w:rFonts w:hint="eastAsia"/>
        </w:rPr>
        <w:t>来</w:t>
      </w:r>
      <w:r>
        <w:t>学校招聘的用人单位</w:t>
      </w:r>
      <w:r>
        <w:rPr>
          <w:rFonts w:hint="eastAsia"/>
        </w:rPr>
        <w:t>分布在</w:t>
      </w:r>
      <w:r>
        <w:t>以下</w:t>
      </w:r>
      <w:r>
        <w:rPr>
          <w:rFonts w:hint="eastAsia"/>
        </w:rPr>
        <w:t>15个</w:t>
      </w:r>
      <w:r>
        <w:t>行业</w:t>
      </w:r>
      <w:r>
        <w:rPr>
          <w:rFonts w:hint="eastAsia"/>
        </w:rPr>
        <w:t>中</w:t>
      </w:r>
      <w:r>
        <w:t>，</w:t>
      </w:r>
      <w:r>
        <w:rPr>
          <w:rFonts w:hint="eastAsia"/>
        </w:rPr>
        <w:t>最多</w:t>
      </w:r>
      <w:r>
        <w:t>的是</w:t>
      </w:r>
      <w:r>
        <w:rPr>
          <w:rFonts w:hint="eastAsia"/>
        </w:rPr>
        <w:t>“信息传输、软件和信息技术服务业”，</w:t>
      </w:r>
      <w:r>
        <w:t>其次是</w:t>
      </w:r>
      <w:r>
        <w:rPr>
          <w:rFonts w:hint="eastAsia"/>
        </w:rPr>
        <w:t>“金融业”“批发和零售业”，</w:t>
      </w:r>
      <w:r>
        <w:t>最少</w:t>
      </w:r>
      <w:r>
        <w:rPr>
          <w:rFonts w:hint="eastAsia"/>
        </w:rPr>
        <w:t>的分别为“农、林、牧、渔业”“房地产业”“租赁和商务服务业”等7个行业。</w:t>
      </w:r>
      <w:r>
        <w:t>详见</w:t>
      </w:r>
      <w:r>
        <w:rPr>
          <w:rFonts w:hint="eastAsia"/>
        </w:rPr>
        <w:t>图6</w:t>
      </w:r>
      <w:r>
        <w:t>-10</w:t>
      </w:r>
      <w:r>
        <w:rPr>
          <w:rFonts w:hint="eastAsia"/>
        </w:rPr>
        <w:t>。</w:t>
      </w:r>
    </w:p>
    <w:p>
      <w:pPr>
        <w:jc w:val="center"/>
      </w:pPr>
      <w:r>
        <w:drawing>
          <wp:inline distT="0" distB="0" distL="0" distR="0">
            <wp:extent cx="5238750" cy="3105150"/>
            <wp:effectExtent l="0" t="0" r="0" b="0"/>
            <wp:docPr id="55" name="图表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pPr>
        <w:pStyle w:val="8"/>
        <w:jc w:val="center"/>
        <w:rPr>
          <w:rFonts w:asciiTheme="minorEastAsia" w:hAnsiTheme="minorEastAsia" w:eastAsiaTheme="minorEastAsia"/>
          <w:sz w:val="18"/>
          <w:szCs w:val="18"/>
        </w:rPr>
      </w:pPr>
      <w:bookmarkStart w:id="293" w:name="_Toc470887006"/>
      <w:r>
        <w:rPr>
          <w:rFonts w:hint="eastAsia" w:asciiTheme="minorEastAsia" w:hAnsiTheme="minorEastAsia" w:eastAsiaTheme="minorEastAsia"/>
          <w:sz w:val="18"/>
          <w:szCs w:val="18"/>
        </w:rPr>
        <w:t>图6-</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图6-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10</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用人单位所属</w:t>
      </w:r>
      <w:r>
        <w:rPr>
          <w:rFonts w:asciiTheme="minorEastAsia" w:hAnsiTheme="minorEastAsia" w:eastAsiaTheme="minorEastAsia"/>
          <w:sz w:val="18"/>
          <w:szCs w:val="18"/>
        </w:rPr>
        <w:t>行业</w:t>
      </w:r>
      <w:bookmarkEnd w:id="293"/>
    </w:p>
    <w:p>
      <w:pPr>
        <w:pStyle w:val="25"/>
      </w:pPr>
      <w:bookmarkStart w:id="294" w:name="_Toc469038420"/>
      <w:bookmarkStart w:id="295" w:name="_Toc471310981"/>
      <w:r>
        <w:rPr>
          <w:rFonts w:hint="eastAsia"/>
        </w:rPr>
        <w:t>四</w:t>
      </w:r>
      <w:r>
        <w:t>、</w:t>
      </w:r>
      <w:r>
        <w:rPr>
          <w:rFonts w:hint="eastAsia"/>
        </w:rPr>
        <w:t>用人单位</w:t>
      </w:r>
      <w:r>
        <w:t>招聘毕业生情况</w:t>
      </w:r>
      <w:bookmarkEnd w:id="294"/>
      <w:bookmarkEnd w:id="295"/>
    </w:p>
    <w:p>
      <w:pPr>
        <w:pStyle w:val="30"/>
      </w:pPr>
      <w:bookmarkStart w:id="296" w:name="_Toc471310982"/>
      <w:bookmarkStart w:id="297" w:name="_Toc469038421"/>
      <w:r>
        <w:rPr>
          <w:rFonts w:hint="eastAsia"/>
        </w:rPr>
        <w:t>（一）用人</w:t>
      </w:r>
      <w:r>
        <w:t>单位招聘毕业生的渠道</w:t>
      </w:r>
      <w:bookmarkEnd w:id="296"/>
      <w:bookmarkEnd w:id="297"/>
    </w:p>
    <w:p>
      <w:pPr>
        <w:pStyle w:val="40"/>
      </w:pPr>
      <w:r>
        <w:rPr>
          <w:rFonts w:hint="eastAsia"/>
        </w:rPr>
        <w:t>调研数据</w:t>
      </w:r>
      <w:r>
        <w:t>显示，</w:t>
      </w:r>
      <w:r>
        <w:rPr>
          <w:rFonts w:hint="eastAsia"/>
        </w:rPr>
        <w:t>用人单位</w:t>
      </w:r>
      <w:r>
        <w:t>招聘毕业生</w:t>
      </w:r>
      <w:r>
        <w:rPr>
          <w:rFonts w:hint="eastAsia"/>
        </w:rPr>
        <w:t>最</w:t>
      </w:r>
      <w:r>
        <w:t>主要</w:t>
      </w:r>
      <w:r>
        <w:rPr>
          <w:rFonts w:hint="eastAsia"/>
        </w:rPr>
        <w:t>的</w:t>
      </w:r>
      <w:r>
        <w:t>渠道是</w:t>
      </w:r>
      <w:r>
        <w:rPr>
          <w:rFonts w:hint="eastAsia"/>
        </w:rPr>
        <w:t>“</w:t>
      </w:r>
      <w:r>
        <w:t>校园招聘</w:t>
      </w:r>
      <w:r>
        <w:rPr>
          <w:rFonts w:hint="eastAsia"/>
        </w:rPr>
        <w:t>”</w:t>
      </w:r>
      <w:r>
        <w:t>，</w:t>
      </w:r>
      <w:r>
        <w:rPr>
          <w:rFonts w:hint="eastAsia"/>
        </w:rPr>
        <w:t>占比</w:t>
      </w:r>
      <w:r>
        <w:t>达</w:t>
      </w:r>
      <w:r>
        <w:rPr>
          <w:rFonts w:hint="eastAsia"/>
        </w:rPr>
        <w:t>74.47</w:t>
      </w:r>
      <w:r>
        <w:t>%，</w:t>
      </w:r>
      <w:r>
        <w:rPr>
          <w:rFonts w:hint="eastAsia"/>
        </w:rPr>
        <w:t>其次</w:t>
      </w:r>
      <w:r>
        <w:t>是</w:t>
      </w:r>
      <w:r>
        <w:rPr>
          <w:rFonts w:hint="eastAsia"/>
        </w:rPr>
        <w:t xml:space="preserve"> “</w:t>
      </w:r>
      <w:r>
        <w:t>社会招聘</w:t>
      </w:r>
      <w:r>
        <w:rPr>
          <w:rFonts w:hint="eastAsia"/>
        </w:rPr>
        <w:t>”</w:t>
      </w:r>
      <w:r>
        <w:t>，</w:t>
      </w:r>
      <w:r>
        <w:rPr>
          <w:rFonts w:hint="eastAsia"/>
        </w:rPr>
        <w:t>占比19</w:t>
      </w:r>
      <w:r>
        <w:t>.15%，</w:t>
      </w:r>
      <w:r>
        <w:rPr>
          <w:rFonts w:hint="eastAsia"/>
        </w:rPr>
        <w:t xml:space="preserve"> 通过“定向（订单）培养”方式的人数</w:t>
      </w:r>
      <w:r>
        <w:t>较</w:t>
      </w:r>
      <w:r>
        <w:rPr>
          <w:rFonts w:hint="eastAsia"/>
        </w:rPr>
        <w:t>少</w:t>
      </w:r>
      <w:r>
        <w:t>，</w:t>
      </w:r>
      <w:r>
        <w:rPr>
          <w:rFonts w:hint="eastAsia"/>
        </w:rPr>
        <w:t>占比仅4.26</w:t>
      </w:r>
      <w:r>
        <w:t>%。详见图</w:t>
      </w:r>
      <w:r>
        <w:rPr>
          <w:rFonts w:hint="eastAsia"/>
        </w:rPr>
        <w:t>6</w:t>
      </w:r>
      <w:r>
        <w:t>-11</w:t>
      </w:r>
      <w:r>
        <w:rPr>
          <w:rFonts w:hint="eastAsia"/>
        </w:rPr>
        <w:t>。</w:t>
      </w:r>
    </w:p>
    <w:p>
      <w:pPr>
        <w:jc w:val="center"/>
      </w:pPr>
      <w:r>
        <w:drawing>
          <wp:inline distT="0" distB="0" distL="0" distR="0">
            <wp:extent cx="3609975" cy="2324100"/>
            <wp:effectExtent l="0" t="0" r="9525" b="0"/>
            <wp:docPr id="56" name="图表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pPr>
        <w:pStyle w:val="8"/>
        <w:jc w:val="center"/>
        <w:rPr>
          <w:rFonts w:asciiTheme="minorEastAsia" w:hAnsiTheme="minorEastAsia" w:eastAsiaTheme="minorEastAsia"/>
          <w:sz w:val="18"/>
          <w:szCs w:val="18"/>
        </w:rPr>
      </w:pPr>
      <w:bookmarkStart w:id="298" w:name="_Toc470887007"/>
      <w:r>
        <w:rPr>
          <w:rFonts w:hint="eastAsia" w:asciiTheme="minorEastAsia" w:hAnsiTheme="minorEastAsia" w:eastAsiaTheme="minorEastAsia"/>
          <w:sz w:val="18"/>
          <w:szCs w:val="18"/>
        </w:rPr>
        <w:t>图6-</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图6-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11</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用人单位</w:t>
      </w:r>
      <w:r>
        <w:rPr>
          <w:rFonts w:asciiTheme="minorEastAsia" w:hAnsiTheme="minorEastAsia" w:eastAsiaTheme="minorEastAsia"/>
          <w:sz w:val="18"/>
          <w:szCs w:val="18"/>
        </w:rPr>
        <w:t>招聘毕业生的渠道</w:t>
      </w:r>
      <w:bookmarkEnd w:id="298"/>
    </w:p>
    <w:p>
      <w:pPr>
        <w:pStyle w:val="30"/>
      </w:pPr>
      <w:bookmarkStart w:id="299" w:name="_Toc471310983"/>
      <w:bookmarkStart w:id="300" w:name="_Toc469038422"/>
      <w:r>
        <w:rPr>
          <w:rFonts w:hint="eastAsia"/>
        </w:rPr>
        <w:t>（二）用人单位</w:t>
      </w:r>
      <w:r>
        <w:t>对毕业生专业</w:t>
      </w:r>
      <w:r>
        <w:rPr>
          <w:rFonts w:hint="eastAsia"/>
        </w:rPr>
        <w:t>的</w:t>
      </w:r>
      <w:r>
        <w:t>关注度</w:t>
      </w:r>
      <w:bookmarkEnd w:id="299"/>
      <w:bookmarkEnd w:id="300"/>
    </w:p>
    <w:p>
      <w:pPr>
        <w:pStyle w:val="40"/>
      </w:pPr>
      <w:r>
        <w:rPr>
          <w:rFonts w:hint="eastAsia"/>
        </w:rPr>
        <w:t>调研</w:t>
      </w:r>
      <w:r>
        <w:t>用人单位</w:t>
      </w:r>
      <w:r>
        <w:rPr>
          <w:rFonts w:hint="eastAsia"/>
        </w:rPr>
        <w:t>招聘</w:t>
      </w:r>
      <w:r>
        <w:t>毕业生时对专业的关注度，</w:t>
      </w:r>
      <w:r>
        <w:rPr>
          <w:rFonts w:hint="eastAsia"/>
        </w:rPr>
        <w:t>由</w:t>
      </w:r>
      <w:r>
        <w:t>数据可</w:t>
      </w:r>
      <w:r>
        <w:rPr>
          <w:rFonts w:hint="eastAsia"/>
        </w:rPr>
        <w:t>知</w:t>
      </w:r>
      <w:r>
        <w:t>，61.70%的用人单位</w:t>
      </w:r>
      <w:r>
        <w:rPr>
          <w:rFonts w:hint="eastAsia"/>
        </w:rPr>
        <w:t>在</w:t>
      </w:r>
      <w:r>
        <w:t>招聘时对</w:t>
      </w:r>
      <w:r>
        <w:rPr>
          <w:rFonts w:hint="eastAsia"/>
        </w:rPr>
        <w:t>学生</w:t>
      </w:r>
      <w:r>
        <w:t>专业</w:t>
      </w:r>
      <w:r>
        <w:rPr>
          <w:rFonts w:hint="eastAsia"/>
        </w:rPr>
        <w:t>表示“关注”（</w:t>
      </w:r>
      <w:r>
        <w:t>包括</w:t>
      </w:r>
      <w:r>
        <w:rPr>
          <w:rFonts w:hint="eastAsia"/>
        </w:rPr>
        <w:t>选项</w:t>
      </w:r>
      <w:r>
        <w:t>非常关注、关注和比较关注</w:t>
      </w:r>
      <w:r>
        <w:rPr>
          <w:rFonts w:hint="eastAsia"/>
        </w:rPr>
        <w:t>）</w:t>
      </w:r>
      <w:r>
        <w:t>。由此</w:t>
      </w:r>
      <w:r>
        <w:rPr>
          <w:rFonts w:hint="eastAsia"/>
        </w:rPr>
        <w:t>可知，</w:t>
      </w:r>
      <w:r>
        <w:t>用人单位招聘</w:t>
      </w:r>
      <w:r>
        <w:rPr>
          <w:rFonts w:hint="eastAsia"/>
        </w:rPr>
        <w:t>时</w:t>
      </w:r>
      <w:r>
        <w:t>会倾向于专业对口的毕业生，以便毕业生能够在工作岗位上更好的</w:t>
      </w:r>
      <w:r>
        <w:rPr>
          <w:rFonts w:hint="eastAsia"/>
        </w:rPr>
        <w:t>发挥</w:t>
      </w:r>
      <w:r>
        <w:t>专业所长。</w:t>
      </w:r>
      <w:r>
        <w:rPr>
          <w:rFonts w:hint="eastAsia"/>
        </w:rPr>
        <w:t>但仍有</w:t>
      </w:r>
      <w:r>
        <w:t>38.30%的用人单位</w:t>
      </w:r>
      <w:r>
        <w:rPr>
          <w:rFonts w:hint="eastAsia"/>
        </w:rPr>
        <w:t>对毕业生</w:t>
      </w:r>
      <w:r>
        <w:t>的专业</w:t>
      </w:r>
      <w:r>
        <w:rPr>
          <w:rFonts w:hint="eastAsia"/>
        </w:rPr>
        <w:t>关注度</w:t>
      </w:r>
      <w:r>
        <w:t>不高，这部分用人单位</w:t>
      </w:r>
      <w:r>
        <w:rPr>
          <w:rFonts w:hint="eastAsia"/>
        </w:rPr>
        <w:t>可能更加</w:t>
      </w:r>
      <w:r>
        <w:t>关注毕业生的综合素质</w:t>
      </w:r>
      <w:r>
        <w:rPr>
          <w:rFonts w:hint="eastAsia"/>
        </w:rPr>
        <w:t>，重视其</w:t>
      </w:r>
      <w:r>
        <w:t>在工作中能力的成长性与更多的可能性。详见图</w:t>
      </w:r>
      <w:r>
        <w:rPr>
          <w:rFonts w:hint="eastAsia"/>
        </w:rPr>
        <w:t>6</w:t>
      </w:r>
      <w:r>
        <w:t>-12</w:t>
      </w:r>
      <w:r>
        <w:rPr>
          <w:rFonts w:hint="eastAsia"/>
        </w:rPr>
        <w:t>。</w:t>
      </w:r>
    </w:p>
    <w:p>
      <w:pPr>
        <w:spacing w:line="360" w:lineRule="auto"/>
        <w:ind w:firstLine="420" w:firstLineChars="200"/>
        <w:jc w:val="center"/>
        <w:rPr>
          <w:sz w:val="24"/>
          <w:szCs w:val="24"/>
        </w:rPr>
      </w:pPr>
      <w:r>
        <w:drawing>
          <wp:inline distT="0" distB="0" distL="0" distR="0">
            <wp:extent cx="4095750" cy="2533650"/>
            <wp:effectExtent l="0" t="0" r="0" b="0"/>
            <wp:docPr id="57" name="图表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pPr>
        <w:pStyle w:val="8"/>
        <w:jc w:val="center"/>
        <w:rPr>
          <w:rFonts w:asciiTheme="minorEastAsia" w:hAnsiTheme="minorEastAsia" w:eastAsiaTheme="minorEastAsia"/>
          <w:sz w:val="18"/>
          <w:szCs w:val="18"/>
        </w:rPr>
      </w:pPr>
      <w:bookmarkStart w:id="301" w:name="_Toc470887008"/>
      <w:r>
        <w:rPr>
          <w:rFonts w:hint="eastAsia" w:asciiTheme="minorEastAsia" w:hAnsiTheme="minorEastAsia" w:eastAsiaTheme="minorEastAsia"/>
          <w:sz w:val="18"/>
          <w:szCs w:val="18"/>
        </w:rPr>
        <w:t>图6-</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图6-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12</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用人单位</w:t>
      </w:r>
      <w:r>
        <w:rPr>
          <w:rFonts w:asciiTheme="minorEastAsia" w:hAnsiTheme="minorEastAsia" w:eastAsiaTheme="minorEastAsia"/>
          <w:sz w:val="18"/>
          <w:szCs w:val="18"/>
        </w:rPr>
        <w:t>对毕业生专业</w:t>
      </w:r>
      <w:r>
        <w:rPr>
          <w:rFonts w:hint="eastAsia" w:asciiTheme="minorEastAsia" w:hAnsiTheme="minorEastAsia" w:eastAsiaTheme="minorEastAsia"/>
          <w:sz w:val="18"/>
          <w:szCs w:val="18"/>
        </w:rPr>
        <w:t>的</w:t>
      </w:r>
      <w:r>
        <w:rPr>
          <w:rFonts w:asciiTheme="minorEastAsia" w:hAnsiTheme="minorEastAsia" w:eastAsiaTheme="minorEastAsia"/>
          <w:sz w:val="18"/>
          <w:szCs w:val="18"/>
        </w:rPr>
        <w:t>关注度</w:t>
      </w:r>
      <w:bookmarkEnd w:id="301"/>
    </w:p>
    <w:p>
      <w:pPr>
        <w:pStyle w:val="30"/>
      </w:pPr>
      <w:bookmarkStart w:id="302" w:name="_Toc469038423"/>
      <w:bookmarkStart w:id="303" w:name="_Toc471310984"/>
      <w:r>
        <w:rPr>
          <w:rFonts w:hint="eastAsia"/>
        </w:rPr>
        <w:t>（三）用人单位</w:t>
      </w:r>
      <w:r>
        <w:t>招聘毕业生的薪资待遇</w:t>
      </w:r>
      <w:bookmarkEnd w:id="302"/>
      <w:bookmarkEnd w:id="303"/>
    </w:p>
    <w:p>
      <w:pPr>
        <w:pStyle w:val="40"/>
      </w:pPr>
      <w:r>
        <w:rPr>
          <w:rFonts w:hint="eastAsia"/>
        </w:rPr>
        <w:t>用人单位</w:t>
      </w:r>
      <w:r>
        <w:t>在招聘毕业生时所</w:t>
      </w:r>
      <w:r>
        <w:rPr>
          <w:rFonts w:hint="eastAsia"/>
        </w:rPr>
        <w:t>提供</w:t>
      </w:r>
      <w:r>
        <w:t>的薪资待遇</w:t>
      </w:r>
      <w:r>
        <w:rPr>
          <w:rFonts w:hint="eastAsia"/>
        </w:rPr>
        <w:t>大多集中在3001</w:t>
      </w:r>
      <w:r>
        <w:t>-4000</w:t>
      </w:r>
      <w:r>
        <w:rPr>
          <w:rFonts w:hint="eastAsia"/>
        </w:rPr>
        <w:t>元</w:t>
      </w:r>
      <w:r>
        <w:t>，</w:t>
      </w:r>
      <w:r>
        <w:rPr>
          <w:rFonts w:hint="eastAsia"/>
        </w:rPr>
        <w:t>4000元</w:t>
      </w:r>
      <w:r>
        <w:t>以上的占</w:t>
      </w:r>
      <w:r>
        <w:rPr>
          <w:rFonts w:hint="eastAsia"/>
        </w:rPr>
        <w:t>23.40</w:t>
      </w:r>
      <w:r>
        <w:t>%</w:t>
      </w:r>
      <w:r>
        <w:rPr>
          <w:rFonts w:hint="eastAsia"/>
        </w:rPr>
        <w:t>，2001</w:t>
      </w:r>
      <w:r>
        <w:t>-3000</w:t>
      </w:r>
      <w:r>
        <w:rPr>
          <w:rFonts w:hint="eastAsia"/>
        </w:rPr>
        <w:t>元</w:t>
      </w:r>
      <w:r>
        <w:t>的占比仅次于</w:t>
      </w:r>
      <w:r>
        <w:rPr>
          <w:rFonts w:hint="eastAsia"/>
        </w:rPr>
        <w:t>3001</w:t>
      </w:r>
      <w:r>
        <w:t>-4000</w:t>
      </w:r>
      <w:r>
        <w:rPr>
          <w:rFonts w:hint="eastAsia"/>
        </w:rPr>
        <w:t>元</w:t>
      </w:r>
      <w:r>
        <w:t>。详见</w:t>
      </w:r>
      <w:r>
        <w:rPr>
          <w:rFonts w:hint="eastAsia"/>
        </w:rPr>
        <w:t>图6</w:t>
      </w:r>
      <w:r>
        <w:t>-13。</w:t>
      </w:r>
    </w:p>
    <w:p>
      <w:pPr>
        <w:jc w:val="center"/>
      </w:pPr>
      <w:r>
        <w:drawing>
          <wp:inline distT="0" distB="0" distL="0" distR="0">
            <wp:extent cx="4572000" cy="2743200"/>
            <wp:effectExtent l="0" t="0" r="0" b="0"/>
            <wp:docPr id="58" name="图表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pPr>
        <w:pStyle w:val="8"/>
        <w:jc w:val="center"/>
        <w:rPr>
          <w:rFonts w:asciiTheme="minorEastAsia" w:hAnsiTheme="minorEastAsia" w:eastAsiaTheme="minorEastAsia"/>
          <w:sz w:val="18"/>
          <w:szCs w:val="18"/>
        </w:rPr>
      </w:pPr>
      <w:bookmarkStart w:id="304" w:name="_Toc470887009"/>
      <w:r>
        <w:rPr>
          <w:rFonts w:hint="eastAsia" w:asciiTheme="minorEastAsia" w:hAnsiTheme="minorEastAsia" w:eastAsiaTheme="minorEastAsia"/>
          <w:sz w:val="18"/>
          <w:szCs w:val="18"/>
        </w:rPr>
        <w:t>图6-</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图6-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13</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用人单位</w:t>
      </w:r>
      <w:r>
        <w:rPr>
          <w:rFonts w:asciiTheme="minorEastAsia" w:hAnsiTheme="minorEastAsia" w:eastAsiaTheme="minorEastAsia"/>
          <w:sz w:val="18"/>
          <w:szCs w:val="18"/>
        </w:rPr>
        <w:t>招聘毕业生的薪资待遇</w:t>
      </w:r>
      <w:bookmarkEnd w:id="304"/>
    </w:p>
    <w:p>
      <w:pPr>
        <w:pStyle w:val="30"/>
      </w:pPr>
      <w:bookmarkStart w:id="305" w:name="_Toc469038424"/>
      <w:bookmarkStart w:id="306" w:name="_Toc471310985"/>
      <w:r>
        <w:rPr>
          <w:rFonts w:hint="eastAsia"/>
        </w:rPr>
        <w:t>（四）用人单位</w:t>
      </w:r>
      <w:r>
        <w:t>招聘毕业生</w:t>
      </w:r>
      <w:r>
        <w:rPr>
          <w:rFonts w:hint="eastAsia"/>
        </w:rPr>
        <w:t>的</w:t>
      </w:r>
      <w:r>
        <w:t>学历需求</w:t>
      </w:r>
      <w:bookmarkEnd w:id="305"/>
      <w:bookmarkEnd w:id="306"/>
    </w:p>
    <w:p>
      <w:pPr>
        <w:pStyle w:val="40"/>
      </w:pPr>
      <w:r>
        <w:rPr>
          <w:rFonts w:hint="eastAsia"/>
        </w:rPr>
        <w:t>用人单位招聘</w:t>
      </w:r>
      <w:r>
        <w:t>毕业生时对</w:t>
      </w:r>
      <w:r>
        <w:rPr>
          <w:rFonts w:hint="eastAsia"/>
        </w:rPr>
        <w:t>本科</w:t>
      </w:r>
      <w:r>
        <w:t>的需求</w:t>
      </w:r>
      <w:r>
        <w:rPr>
          <w:rFonts w:hint="eastAsia"/>
        </w:rPr>
        <w:t>量最大</w:t>
      </w:r>
      <w:r>
        <w:t>，</w:t>
      </w:r>
      <w:r>
        <w:rPr>
          <w:rFonts w:hint="eastAsia"/>
        </w:rPr>
        <w:t>占比超过5</w:t>
      </w:r>
      <w:r>
        <w:t>0</w:t>
      </w:r>
      <w:r>
        <w:rPr>
          <w:rFonts w:hint="eastAsia"/>
        </w:rPr>
        <w:t>.00</w:t>
      </w:r>
      <w:r>
        <w:t>%</w:t>
      </w:r>
      <w:r>
        <w:rPr>
          <w:rFonts w:hint="eastAsia"/>
        </w:rPr>
        <w:t>；</w:t>
      </w:r>
      <w:r>
        <w:t>其次是</w:t>
      </w:r>
      <w:r>
        <w:rPr>
          <w:rFonts w:hint="eastAsia"/>
        </w:rPr>
        <w:t>高职专科毕业生</w:t>
      </w:r>
      <w:r>
        <w:t>，占</w:t>
      </w:r>
      <w:r>
        <w:rPr>
          <w:rFonts w:hint="eastAsia"/>
        </w:rPr>
        <w:t>比</w:t>
      </w:r>
      <w:r>
        <w:t>33.33%</w:t>
      </w:r>
      <w:r>
        <w:rPr>
          <w:rFonts w:hint="eastAsia"/>
        </w:rPr>
        <w:t>；</w:t>
      </w:r>
      <w:r>
        <w:t>对研究生的需求量较小，</w:t>
      </w:r>
      <w:r>
        <w:rPr>
          <w:rFonts w:hint="eastAsia"/>
        </w:rPr>
        <w:t>特别是</w:t>
      </w:r>
      <w:r>
        <w:t>博士研究生</w:t>
      </w:r>
      <w:r>
        <w:rPr>
          <w:rFonts w:hint="eastAsia"/>
        </w:rPr>
        <w:t>，</w:t>
      </w:r>
      <w:r>
        <w:t>占比仅</w:t>
      </w:r>
      <w:r>
        <w:rPr>
          <w:rFonts w:hint="eastAsia"/>
        </w:rPr>
        <w:t>2.56</w:t>
      </w:r>
      <w:r>
        <w:t>%</w:t>
      </w:r>
      <w:r>
        <w:rPr>
          <w:rFonts w:hint="eastAsia"/>
        </w:rPr>
        <w:t>。</w:t>
      </w:r>
      <w:r>
        <w:t>详见</w:t>
      </w:r>
      <w:r>
        <w:rPr>
          <w:rFonts w:hint="eastAsia"/>
        </w:rPr>
        <w:t>图6</w:t>
      </w:r>
      <w:r>
        <w:t>-14。</w:t>
      </w:r>
    </w:p>
    <w:p>
      <w:pPr>
        <w:jc w:val="center"/>
      </w:pPr>
      <w:r>
        <w:drawing>
          <wp:inline distT="0" distB="0" distL="0" distR="0">
            <wp:extent cx="3600450" cy="2428875"/>
            <wp:effectExtent l="0" t="0" r="0" b="9525"/>
            <wp:docPr id="59"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pPr>
        <w:pStyle w:val="8"/>
        <w:jc w:val="center"/>
        <w:rPr>
          <w:rFonts w:asciiTheme="minorEastAsia" w:hAnsiTheme="minorEastAsia" w:eastAsiaTheme="minorEastAsia"/>
          <w:sz w:val="18"/>
          <w:szCs w:val="18"/>
        </w:rPr>
      </w:pPr>
      <w:bookmarkStart w:id="307" w:name="_Toc470887010"/>
      <w:r>
        <w:rPr>
          <w:rFonts w:hint="eastAsia" w:asciiTheme="minorEastAsia" w:hAnsiTheme="minorEastAsia" w:eastAsiaTheme="minorEastAsia"/>
          <w:sz w:val="18"/>
          <w:szCs w:val="18"/>
        </w:rPr>
        <w:t>图6-</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图6-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14</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用人单位</w:t>
      </w:r>
      <w:r>
        <w:rPr>
          <w:rFonts w:asciiTheme="minorEastAsia" w:hAnsiTheme="minorEastAsia" w:eastAsiaTheme="minorEastAsia"/>
          <w:sz w:val="18"/>
          <w:szCs w:val="18"/>
        </w:rPr>
        <w:t>招聘毕业生的学历需求</w:t>
      </w:r>
      <w:bookmarkEnd w:id="307"/>
    </w:p>
    <w:p>
      <w:pPr>
        <w:pStyle w:val="30"/>
      </w:pPr>
      <w:bookmarkStart w:id="308" w:name="_Toc471310986"/>
      <w:bookmarkStart w:id="309" w:name="_Toc469038425"/>
      <w:r>
        <w:rPr>
          <w:rFonts w:hint="eastAsia"/>
        </w:rPr>
        <w:t>（五）用人单位</w:t>
      </w:r>
      <w:r>
        <w:t>认为毕业生的岗位</w:t>
      </w:r>
      <w:r>
        <w:rPr>
          <w:rFonts w:hint="eastAsia"/>
        </w:rPr>
        <w:t>适应时间</w:t>
      </w:r>
      <w:bookmarkEnd w:id="308"/>
      <w:bookmarkEnd w:id="309"/>
    </w:p>
    <w:p>
      <w:pPr>
        <w:pStyle w:val="40"/>
      </w:pPr>
      <w:r>
        <w:rPr>
          <w:rFonts w:hint="eastAsia"/>
        </w:rPr>
        <w:t>根据调研</w:t>
      </w:r>
      <w:r>
        <w:t>数据，大多数用人单位认为毕业生</w:t>
      </w:r>
      <w:r>
        <w:rPr>
          <w:rFonts w:hint="eastAsia"/>
        </w:rPr>
        <w:t>3个</w:t>
      </w:r>
      <w:r>
        <w:t>月</w:t>
      </w:r>
      <w:r>
        <w:rPr>
          <w:rFonts w:hint="eastAsia"/>
        </w:rPr>
        <w:t>以内就</w:t>
      </w:r>
      <w:r>
        <w:t>能适应工作岗位，</w:t>
      </w:r>
      <w:r>
        <w:rPr>
          <w:rFonts w:hint="eastAsia"/>
        </w:rPr>
        <w:t>这说明在</w:t>
      </w:r>
      <w:r>
        <w:t>用人单位看来，</w:t>
      </w:r>
      <w:r>
        <w:rPr>
          <w:rFonts w:hint="eastAsia"/>
        </w:rPr>
        <w:t>毕业生</w:t>
      </w:r>
      <w:r>
        <w:t>的适应能力较</w:t>
      </w:r>
      <w:r>
        <w:rPr>
          <w:rFonts w:hint="eastAsia"/>
        </w:rPr>
        <w:t>强</w:t>
      </w:r>
      <w:r>
        <w:t>，能够很快从</w:t>
      </w:r>
      <w:r>
        <w:rPr>
          <w:rFonts w:hint="eastAsia"/>
        </w:rPr>
        <w:t>校园状态进入</w:t>
      </w:r>
      <w:r>
        <w:t>职场</w:t>
      </w:r>
      <w:r>
        <w:rPr>
          <w:rFonts w:hint="eastAsia"/>
        </w:rPr>
        <w:t>状态。详细数据见</w:t>
      </w:r>
      <w:r>
        <w:t>表</w:t>
      </w:r>
      <w:r>
        <w:rPr>
          <w:rFonts w:hint="eastAsia"/>
        </w:rPr>
        <w:t>6</w:t>
      </w:r>
      <w:r>
        <w:t>-4</w:t>
      </w:r>
      <w:r>
        <w:rPr>
          <w:rFonts w:hint="eastAsia"/>
        </w:rPr>
        <w:t>。</w:t>
      </w:r>
    </w:p>
    <w:p>
      <w:pPr>
        <w:pStyle w:val="8"/>
        <w:jc w:val="center"/>
        <w:rPr>
          <w:rFonts w:asciiTheme="minorEastAsia" w:hAnsiTheme="minorEastAsia" w:eastAsiaTheme="minorEastAsia"/>
          <w:sz w:val="18"/>
          <w:szCs w:val="18"/>
        </w:rPr>
      </w:pPr>
      <w:bookmarkStart w:id="310" w:name="_Toc470886955"/>
      <w:r>
        <w:rPr>
          <w:rFonts w:hint="eastAsia" w:asciiTheme="minorEastAsia" w:hAnsiTheme="minorEastAsia" w:eastAsiaTheme="minorEastAsia"/>
          <w:sz w:val="18"/>
          <w:szCs w:val="18"/>
        </w:rPr>
        <w:t>表6-</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表6-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4</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用人单位认为毕业生的</w:t>
      </w:r>
      <w:r>
        <w:rPr>
          <w:rFonts w:asciiTheme="minorEastAsia" w:hAnsiTheme="minorEastAsia" w:eastAsiaTheme="minorEastAsia"/>
          <w:sz w:val="18"/>
          <w:szCs w:val="18"/>
        </w:rPr>
        <w:t>岗位适应时间</w:t>
      </w:r>
      <w:bookmarkEnd w:id="310"/>
    </w:p>
    <w:tbl>
      <w:tblPr>
        <w:tblStyle w:val="50"/>
        <w:tblW w:w="8296" w:type="dxa"/>
        <w:tblInd w:w="0" w:type="dxa"/>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
      <w:tblGrid>
        <w:gridCol w:w="4148"/>
        <w:gridCol w:w="4148"/>
      </w:tblGrid>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4148" w:type="dxa"/>
            <w:tcBorders>
              <w:top w:val="single" w:color="ED7D31" w:themeColor="accent2" w:sz="4" w:space="0"/>
              <w:left w:val="single" w:color="ED7D31" w:themeColor="accent2" w:sz="4" w:space="0"/>
              <w:bottom w:val="single" w:color="ED7D31" w:themeColor="accent2" w:sz="4" w:space="0"/>
              <w:right w:val="nil"/>
              <w:insideH w:val="single" w:sz="4" w:space="0"/>
              <w:insideV w:val="nil"/>
            </w:tcBorders>
            <w:shd w:val="clear" w:color="auto" w:fill="ED7D31" w:themeFill="accent2"/>
            <w:vAlign w:val="center"/>
          </w:tcPr>
          <w:p>
            <w:pPr>
              <w:widowControl/>
              <w:jc w:val="center"/>
              <w:rPr>
                <w:rFonts w:ascii="宋体" w:hAnsi="宋体" w:eastAsia="宋体" w:cs="宋体"/>
                <w:b/>
                <w:bCs/>
                <w:color w:val="FFFFFF" w:themeColor="background1"/>
                <w:kern w:val="0"/>
                <w:sz w:val="18"/>
                <w:szCs w:val="18"/>
                <w14:textFill>
                  <w14:solidFill>
                    <w14:schemeClr w14:val="bg1"/>
                  </w14:solidFill>
                </w14:textFill>
              </w:rPr>
            </w:pPr>
            <w:r>
              <w:rPr>
                <w:rFonts w:hint="eastAsia" w:ascii="宋体" w:hAnsi="宋体" w:eastAsia="宋体" w:cs="宋体"/>
                <w:b/>
                <w:bCs/>
                <w:color w:val="FFFFFF" w:themeColor="background1"/>
                <w:kern w:val="0"/>
                <w:sz w:val="18"/>
                <w:szCs w:val="18"/>
                <w14:textFill>
                  <w14:solidFill>
                    <w14:schemeClr w14:val="bg1"/>
                  </w14:solidFill>
                </w14:textFill>
              </w:rPr>
              <w:t>岗位适应时间</w:t>
            </w:r>
          </w:p>
        </w:tc>
        <w:tc>
          <w:tcPr>
            <w:tcW w:w="4148" w:type="dxa"/>
            <w:tcBorders>
              <w:top w:val="single" w:color="ED7D31" w:themeColor="accent2" w:sz="4" w:space="0"/>
              <w:bottom w:val="single" w:color="ED7D31" w:themeColor="accent2" w:sz="4" w:space="0"/>
              <w:right w:val="single" w:color="ED7D31" w:themeColor="accent2" w:sz="4" w:space="0"/>
              <w:insideH w:val="single" w:sz="4" w:space="0"/>
              <w:insideV w:val="nil"/>
            </w:tcBorders>
            <w:shd w:val="clear" w:color="auto" w:fill="ED7D31" w:themeFill="accent2"/>
            <w:vAlign w:val="center"/>
          </w:tcPr>
          <w:p>
            <w:pPr>
              <w:widowControl/>
              <w:jc w:val="center"/>
              <w:rPr>
                <w:rFonts w:ascii="宋体" w:hAnsi="宋体" w:eastAsia="宋体" w:cs="宋体"/>
                <w:b/>
                <w:bCs/>
                <w:color w:val="FFFFFF" w:themeColor="background1"/>
                <w:kern w:val="0"/>
                <w:sz w:val="18"/>
                <w:szCs w:val="18"/>
                <w14:textFill>
                  <w14:solidFill>
                    <w14:schemeClr w14:val="bg1"/>
                  </w14:solidFill>
                </w14:textFill>
              </w:rPr>
            </w:pPr>
            <w:r>
              <w:rPr>
                <w:rFonts w:hint="eastAsia" w:ascii="宋体" w:hAnsi="宋体" w:eastAsia="宋体" w:cs="宋体"/>
                <w:b/>
                <w:bCs/>
                <w:color w:val="FFFFFF" w:themeColor="background1"/>
                <w:kern w:val="0"/>
                <w:sz w:val="18"/>
                <w:szCs w:val="18"/>
                <w14:textFill>
                  <w14:solidFill>
                    <w14:schemeClr w14:val="bg1"/>
                  </w14:solidFill>
                </w14:textFill>
              </w:rPr>
              <w:t>比例（%）</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4148" w:type="dxa"/>
            <w:shd w:val="clear" w:color="auto" w:fill="FBE4D5" w:themeFill="accent2" w:themeFillTint="33"/>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3个月以内</w:t>
            </w:r>
          </w:p>
        </w:tc>
        <w:tc>
          <w:tcPr>
            <w:tcW w:w="4148"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59.57</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4148" w:type="dxa"/>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3-6个月</w:t>
            </w:r>
          </w:p>
        </w:tc>
        <w:tc>
          <w:tcPr>
            <w:tcW w:w="4148"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25.53</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4148" w:type="dxa"/>
            <w:shd w:val="clear" w:color="auto" w:fill="FBE4D5" w:themeFill="accent2" w:themeFillTint="33"/>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6个月-1年</w:t>
            </w:r>
          </w:p>
        </w:tc>
        <w:tc>
          <w:tcPr>
            <w:tcW w:w="4148"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12.77</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rPr>
        <w:tc>
          <w:tcPr>
            <w:tcW w:w="4148" w:type="dxa"/>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1年以上</w:t>
            </w:r>
          </w:p>
        </w:tc>
        <w:tc>
          <w:tcPr>
            <w:tcW w:w="4148"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2.13</w:t>
            </w:r>
          </w:p>
        </w:tc>
      </w:tr>
    </w:tbl>
    <w:p/>
    <w:p>
      <w:pPr>
        <w:pStyle w:val="30"/>
      </w:pPr>
      <w:bookmarkStart w:id="311" w:name="_Toc469038426"/>
      <w:bookmarkStart w:id="312" w:name="_Toc471310987"/>
      <w:r>
        <w:rPr>
          <w:rFonts w:hint="eastAsia"/>
        </w:rPr>
        <w:t>（六）用人单位</w:t>
      </w:r>
      <w:r>
        <w:t>招聘毕业生时关注的因素</w:t>
      </w:r>
      <w:bookmarkEnd w:id="311"/>
      <w:bookmarkEnd w:id="312"/>
    </w:p>
    <w:p>
      <w:pPr>
        <w:pStyle w:val="40"/>
      </w:pPr>
      <w:r>
        <w:rPr>
          <w:rFonts w:hint="eastAsia"/>
        </w:rPr>
        <w:t>调研</w:t>
      </w:r>
      <w:r>
        <w:t>用人单位在招聘毕业生时关注的因素，数据显示，</w:t>
      </w:r>
      <w:r>
        <w:rPr>
          <w:rFonts w:hint="eastAsia"/>
        </w:rPr>
        <w:t>用人</w:t>
      </w:r>
      <w:r>
        <w:t>单位最关注毕业生</w:t>
      </w:r>
      <w:r>
        <w:rPr>
          <w:rFonts w:hint="eastAsia"/>
        </w:rPr>
        <w:t>的</w:t>
      </w:r>
      <w:r>
        <w:t>综合素质，</w:t>
      </w:r>
      <w:r>
        <w:rPr>
          <w:rFonts w:hint="eastAsia"/>
        </w:rPr>
        <w:t>其次</w:t>
      </w:r>
      <w:r>
        <w:t>是社会适应能力，占比均</w:t>
      </w:r>
      <w:r>
        <w:rPr>
          <w:rFonts w:hint="eastAsia"/>
        </w:rPr>
        <w:t>超过30.00</w:t>
      </w:r>
      <w:r>
        <w:t>%</w:t>
      </w:r>
      <w:r>
        <w:rPr>
          <w:rFonts w:hint="eastAsia"/>
        </w:rPr>
        <w:t>，</w:t>
      </w:r>
      <w:r>
        <w:t>关注程度</w:t>
      </w:r>
      <w:r>
        <w:rPr>
          <w:rFonts w:hint="eastAsia"/>
        </w:rPr>
        <w:t>较低</w:t>
      </w:r>
      <w:r>
        <w:t>的是在校获奖情况</w:t>
      </w:r>
      <w:r>
        <w:rPr>
          <w:rFonts w:hint="eastAsia"/>
        </w:rPr>
        <w:t>、是否</w:t>
      </w:r>
      <w:r>
        <w:t>学生干部、</w:t>
      </w:r>
      <w:r>
        <w:rPr>
          <w:rFonts w:hint="eastAsia"/>
        </w:rPr>
        <w:t>学习成绩</w:t>
      </w:r>
      <w:r>
        <w:t>等，占比均不</w:t>
      </w:r>
      <w:r>
        <w:rPr>
          <w:rFonts w:hint="eastAsia"/>
        </w:rPr>
        <w:t>到5.00</w:t>
      </w:r>
      <w:r>
        <w:t>%。</w:t>
      </w:r>
      <w:r>
        <w:rPr>
          <w:rFonts w:hint="eastAsia"/>
        </w:rPr>
        <w:t>详见图6</w:t>
      </w:r>
      <w:r>
        <w:t>-15。</w:t>
      </w:r>
    </w:p>
    <w:p>
      <w:pPr>
        <w:jc w:val="center"/>
      </w:pPr>
      <w:r>
        <w:drawing>
          <wp:inline distT="0" distB="0" distL="0" distR="0">
            <wp:extent cx="4572000" cy="2743200"/>
            <wp:effectExtent l="0" t="0" r="0" b="0"/>
            <wp:docPr id="60" name="图表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pPr>
        <w:pStyle w:val="8"/>
        <w:jc w:val="center"/>
        <w:rPr>
          <w:rFonts w:asciiTheme="minorEastAsia" w:hAnsiTheme="minorEastAsia" w:eastAsiaTheme="minorEastAsia"/>
          <w:sz w:val="18"/>
          <w:szCs w:val="18"/>
        </w:rPr>
      </w:pPr>
      <w:bookmarkStart w:id="313" w:name="_Toc470887011"/>
      <w:r>
        <w:rPr>
          <w:rFonts w:hint="eastAsia" w:asciiTheme="minorEastAsia" w:hAnsiTheme="minorEastAsia" w:eastAsiaTheme="minorEastAsia"/>
          <w:sz w:val="18"/>
          <w:szCs w:val="18"/>
        </w:rPr>
        <w:t>图6-</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图6-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15</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用人单位</w:t>
      </w:r>
      <w:r>
        <w:rPr>
          <w:rFonts w:asciiTheme="minorEastAsia" w:hAnsiTheme="minorEastAsia" w:eastAsiaTheme="minorEastAsia"/>
          <w:sz w:val="18"/>
          <w:szCs w:val="18"/>
        </w:rPr>
        <w:t>招聘毕业生时关注的因素</w:t>
      </w:r>
      <w:bookmarkEnd w:id="313"/>
    </w:p>
    <w:p>
      <w:pPr>
        <w:pStyle w:val="25"/>
      </w:pPr>
      <w:bookmarkStart w:id="314" w:name="_Toc469038427"/>
      <w:bookmarkStart w:id="315" w:name="_Toc471310988"/>
      <w:r>
        <w:rPr>
          <w:rFonts w:hint="eastAsia"/>
        </w:rPr>
        <w:t>五</w:t>
      </w:r>
      <w:r>
        <w:t>、</w:t>
      </w:r>
      <w:r>
        <w:rPr>
          <w:rFonts w:hint="eastAsia"/>
        </w:rPr>
        <w:t>用人单位</w:t>
      </w:r>
      <w:r>
        <w:t>对毕业生</w:t>
      </w:r>
      <w:r>
        <w:rPr>
          <w:rFonts w:hint="eastAsia"/>
        </w:rPr>
        <w:t>及</w:t>
      </w:r>
      <w:r>
        <w:t>学校的评价</w:t>
      </w:r>
      <w:r>
        <w:rPr>
          <w:rFonts w:hint="eastAsia"/>
        </w:rPr>
        <w:t>与反馈</w:t>
      </w:r>
      <w:bookmarkEnd w:id="314"/>
      <w:bookmarkEnd w:id="315"/>
    </w:p>
    <w:p>
      <w:pPr>
        <w:pStyle w:val="30"/>
      </w:pPr>
      <w:bookmarkStart w:id="316" w:name="_Toc471310989"/>
      <w:bookmarkStart w:id="317" w:name="_Toc469038428"/>
      <w:r>
        <w:rPr>
          <w:rFonts w:hint="eastAsia"/>
        </w:rPr>
        <w:t>（一）用人</w:t>
      </w:r>
      <w:r>
        <w:t>单位对毕业生能力的评价</w:t>
      </w:r>
      <w:bookmarkEnd w:id="316"/>
      <w:bookmarkEnd w:id="317"/>
    </w:p>
    <w:p>
      <w:pPr>
        <w:pStyle w:val="40"/>
      </w:pPr>
      <w:r>
        <w:rPr>
          <w:rFonts w:hint="eastAsia"/>
        </w:rPr>
        <w:t>调研用人</w:t>
      </w:r>
      <w:r>
        <w:t>单位对毕业生以下</w:t>
      </w:r>
      <w:r>
        <w:rPr>
          <w:rFonts w:hint="eastAsia"/>
        </w:rPr>
        <w:t>12种</w:t>
      </w:r>
      <w:r>
        <w:t>能力的评价</w:t>
      </w:r>
      <w:r>
        <w:rPr>
          <w:rFonts w:hint="eastAsia"/>
        </w:rPr>
        <w:t>，</w:t>
      </w:r>
      <w:r>
        <w:t>数据显示</w:t>
      </w:r>
      <w:r>
        <w:rPr>
          <w:rFonts w:hint="eastAsia"/>
        </w:rPr>
        <w:t>，用人单位</w:t>
      </w:r>
      <w:r>
        <w:t>对毕业生</w:t>
      </w:r>
      <w:r>
        <w:rPr>
          <w:rFonts w:hint="eastAsia"/>
        </w:rPr>
        <w:t>“创新能力”“灵活应变能力”“语言表达能力”的</w:t>
      </w:r>
      <w:r>
        <w:t>满意度最高，达到</w:t>
      </w:r>
      <w:r>
        <w:rPr>
          <w:rFonts w:hint="eastAsia"/>
        </w:rPr>
        <w:t>95.74</w:t>
      </w:r>
      <w:r>
        <w:t>%</w:t>
      </w:r>
      <w:r>
        <w:rPr>
          <w:rFonts w:hint="eastAsia"/>
        </w:rPr>
        <w:t>；</w:t>
      </w:r>
      <w:r>
        <w:t>对</w:t>
      </w:r>
      <w:r>
        <w:rPr>
          <w:rFonts w:hint="eastAsia"/>
        </w:rPr>
        <w:t>“吃苦耐劳精神”“抗压抗挫</w:t>
      </w:r>
      <w:r>
        <w:t>能力</w:t>
      </w:r>
      <w:r>
        <w:rPr>
          <w:rFonts w:hint="eastAsia"/>
        </w:rPr>
        <w:t>”“自主学习能力”和“敬业</w:t>
      </w:r>
      <w:r>
        <w:t>精神</w:t>
      </w:r>
      <w:r>
        <w:rPr>
          <w:rFonts w:hint="eastAsia"/>
        </w:rPr>
        <w:t>与</w:t>
      </w:r>
      <w:r>
        <w:t>职业道德</w:t>
      </w:r>
      <w:r>
        <w:rPr>
          <w:rFonts w:hint="eastAsia"/>
        </w:rPr>
        <w:t>”的</w:t>
      </w:r>
      <w:r>
        <w:t>满意度相对较低</w:t>
      </w:r>
      <w:r>
        <w:rPr>
          <w:rFonts w:hint="eastAsia"/>
        </w:rPr>
        <w:t>，</w:t>
      </w:r>
      <w:r>
        <w:t>均</w:t>
      </w:r>
      <w:r>
        <w:rPr>
          <w:rFonts w:hint="eastAsia"/>
        </w:rPr>
        <w:t>未达到90.00</w:t>
      </w:r>
      <w:r>
        <w:t>%。详见表</w:t>
      </w:r>
      <w:r>
        <w:rPr>
          <w:rFonts w:hint="eastAsia"/>
        </w:rPr>
        <w:t>6</w:t>
      </w:r>
      <w:r>
        <w:t>-5</w:t>
      </w:r>
      <w:r>
        <w:rPr>
          <w:rFonts w:hint="eastAsia"/>
        </w:rPr>
        <w:t>。</w:t>
      </w:r>
    </w:p>
    <w:p>
      <w:pPr>
        <w:pStyle w:val="8"/>
        <w:jc w:val="center"/>
        <w:rPr>
          <w:rFonts w:asciiTheme="minorEastAsia" w:hAnsiTheme="minorEastAsia" w:eastAsiaTheme="minorEastAsia"/>
          <w:sz w:val="18"/>
          <w:szCs w:val="18"/>
        </w:rPr>
      </w:pPr>
      <w:bookmarkStart w:id="318" w:name="_Toc470886956"/>
      <w:r>
        <w:rPr>
          <w:rFonts w:hint="eastAsia" w:asciiTheme="minorEastAsia" w:hAnsiTheme="minorEastAsia" w:eastAsiaTheme="minorEastAsia"/>
          <w:sz w:val="18"/>
          <w:szCs w:val="18"/>
        </w:rPr>
        <w:t>表6-</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表6-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5</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用人单位对毕业生能力的评价</w:t>
      </w:r>
      <w:bookmarkEnd w:id="318"/>
    </w:p>
    <w:tbl>
      <w:tblPr>
        <w:tblStyle w:val="50"/>
        <w:tblW w:w="8296" w:type="dxa"/>
        <w:jc w:val="center"/>
        <w:tblInd w:w="0" w:type="dxa"/>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
      <w:tblGrid>
        <w:gridCol w:w="1920"/>
        <w:gridCol w:w="1064"/>
        <w:gridCol w:w="1064"/>
        <w:gridCol w:w="1062"/>
        <w:gridCol w:w="1062"/>
        <w:gridCol w:w="1062"/>
        <w:gridCol w:w="1062"/>
      </w:tblGrid>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tblHeader/>
          <w:jc w:val="center"/>
        </w:trPr>
        <w:tc>
          <w:tcPr>
            <w:tcW w:w="1920" w:type="dxa"/>
            <w:tcBorders>
              <w:top w:val="single" w:color="ED7D31" w:themeColor="accent2" w:sz="4" w:space="0"/>
              <w:left w:val="single" w:color="ED7D31" w:themeColor="accent2" w:sz="4" w:space="0"/>
              <w:bottom w:val="single" w:color="ED7D31" w:themeColor="accent2" w:sz="4" w:space="0"/>
              <w:right w:val="nil"/>
              <w:insideH w:val="single" w:sz="4" w:space="0"/>
              <w:insideV w:val="nil"/>
            </w:tcBorders>
            <w:shd w:val="clear" w:color="auto" w:fill="ED7D31" w:themeFill="accent2"/>
            <w:vAlign w:val="center"/>
          </w:tcPr>
          <w:p>
            <w:pPr>
              <w:widowControl/>
              <w:jc w:val="center"/>
              <w:rPr>
                <w:rFonts w:ascii="宋体" w:hAnsi="宋体" w:eastAsia="宋体" w:cs="宋体"/>
                <w:b/>
                <w:bCs/>
                <w:color w:val="FFFFFF" w:themeColor="background1"/>
                <w:kern w:val="0"/>
                <w:sz w:val="18"/>
                <w:szCs w:val="18"/>
                <w14:textFill>
                  <w14:solidFill>
                    <w14:schemeClr w14:val="bg1"/>
                  </w14:solidFill>
                </w14:textFill>
              </w:rPr>
            </w:pPr>
            <w:r>
              <w:rPr>
                <w:rFonts w:hint="eastAsia" w:ascii="宋体" w:hAnsi="宋体" w:eastAsia="宋体" w:cs="宋体"/>
                <w:b/>
                <w:bCs/>
                <w:color w:val="FFFFFF" w:themeColor="background1"/>
                <w:kern w:val="0"/>
                <w:sz w:val="18"/>
                <w:szCs w:val="18"/>
                <w14:textFill>
                  <w14:solidFill>
                    <w14:schemeClr w14:val="bg1"/>
                  </w14:solidFill>
                </w14:textFill>
              </w:rPr>
              <w:t>能力</w:t>
            </w:r>
          </w:p>
        </w:tc>
        <w:tc>
          <w:tcPr>
            <w:tcW w:w="1064" w:type="dxa"/>
            <w:tcBorders>
              <w:top w:val="single" w:color="ED7D31" w:themeColor="accent2" w:sz="4" w:space="0"/>
              <w:bottom w:val="single" w:color="ED7D31" w:themeColor="accent2" w:sz="4" w:space="0"/>
              <w:right w:val="nil"/>
              <w:insideH w:val="single" w:sz="4" w:space="0"/>
              <w:insideV w:val="nil"/>
            </w:tcBorders>
            <w:shd w:val="clear" w:color="auto" w:fill="ED7D31" w:themeFill="accent2"/>
            <w:vAlign w:val="center"/>
          </w:tcPr>
          <w:p>
            <w:pPr>
              <w:widowControl/>
              <w:jc w:val="center"/>
              <w:rPr>
                <w:rFonts w:ascii="宋体" w:hAnsi="宋体" w:eastAsia="宋体" w:cs="宋体"/>
                <w:b/>
                <w:bCs/>
                <w:color w:val="FFFFFF" w:themeColor="background1"/>
                <w:kern w:val="0"/>
                <w:sz w:val="18"/>
                <w:szCs w:val="18"/>
                <w14:textFill>
                  <w14:solidFill>
                    <w14:schemeClr w14:val="bg1"/>
                  </w14:solidFill>
                </w14:textFill>
              </w:rPr>
            </w:pPr>
            <w:r>
              <w:rPr>
                <w:rFonts w:hint="eastAsia" w:ascii="宋体" w:hAnsi="宋体" w:eastAsia="宋体" w:cs="宋体"/>
                <w:b/>
                <w:bCs/>
                <w:color w:val="FFFFFF" w:themeColor="background1"/>
                <w:kern w:val="0"/>
                <w:sz w:val="18"/>
                <w:szCs w:val="18"/>
                <w14:textFill>
                  <w14:solidFill>
                    <w14:schemeClr w14:val="bg1"/>
                  </w14:solidFill>
                </w14:textFill>
              </w:rPr>
              <w:t>非常满意</w:t>
            </w:r>
          </w:p>
        </w:tc>
        <w:tc>
          <w:tcPr>
            <w:tcW w:w="1064" w:type="dxa"/>
            <w:tcBorders>
              <w:top w:val="single" w:color="ED7D31" w:themeColor="accent2" w:sz="4" w:space="0"/>
              <w:bottom w:val="single" w:color="ED7D31" w:themeColor="accent2" w:sz="4" w:space="0"/>
              <w:right w:val="nil"/>
              <w:insideH w:val="single" w:sz="4" w:space="0"/>
              <w:insideV w:val="nil"/>
            </w:tcBorders>
            <w:shd w:val="clear" w:color="auto" w:fill="ED7D31" w:themeFill="accent2"/>
            <w:vAlign w:val="center"/>
          </w:tcPr>
          <w:p>
            <w:pPr>
              <w:widowControl/>
              <w:jc w:val="center"/>
              <w:rPr>
                <w:rFonts w:ascii="宋体" w:hAnsi="宋体" w:eastAsia="宋体" w:cs="宋体"/>
                <w:b/>
                <w:bCs/>
                <w:color w:val="FFFFFF" w:themeColor="background1"/>
                <w:kern w:val="0"/>
                <w:sz w:val="18"/>
                <w:szCs w:val="18"/>
                <w14:textFill>
                  <w14:solidFill>
                    <w14:schemeClr w14:val="bg1"/>
                  </w14:solidFill>
                </w14:textFill>
              </w:rPr>
            </w:pPr>
            <w:r>
              <w:rPr>
                <w:rFonts w:hint="eastAsia" w:ascii="宋体" w:hAnsi="宋体" w:eastAsia="宋体" w:cs="宋体"/>
                <w:b/>
                <w:bCs/>
                <w:color w:val="FFFFFF" w:themeColor="background1"/>
                <w:kern w:val="0"/>
                <w:sz w:val="18"/>
                <w:szCs w:val="18"/>
                <w14:textFill>
                  <w14:solidFill>
                    <w14:schemeClr w14:val="bg1"/>
                  </w14:solidFill>
                </w14:textFill>
              </w:rPr>
              <w:t>满意</w:t>
            </w:r>
          </w:p>
        </w:tc>
        <w:tc>
          <w:tcPr>
            <w:tcW w:w="1062" w:type="dxa"/>
            <w:tcBorders>
              <w:top w:val="single" w:color="ED7D31" w:themeColor="accent2" w:sz="4" w:space="0"/>
              <w:bottom w:val="single" w:color="ED7D31" w:themeColor="accent2" w:sz="4" w:space="0"/>
              <w:right w:val="nil"/>
              <w:insideH w:val="single" w:sz="4" w:space="0"/>
              <w:insideV w:val="nil"/>
            </w:tcBorders>
            <w:shd w:val="clear" w:color="auto" w:fill="ED7D31" w:themeFill="accent2"/>
            <w:vAlign w:val="center"/>
          </w:tcPr>
          <w:p>
            <w:pPr>
              <w:widowControl/>
              <w:jc w:val="center"/>
              <w:rPr>
                <w:rFonts w:ascii="宋体" w:hAnsi="宋体" w:eastAsia="宋体" w:cs="宋体"/>
                <w:b/>
                <w:bCs/>
                <w:color w:val="FFFFFF" w:themeColor="background1"/>
                <w:kern w:val="0"/>
                <w:sz w:val="18"/>
                <w:szCs w:val="18"/>
                <w14:textFill>
                  <w14:solidFill>
                    <w14:schemeClr w14:val="bg1"/>
                  </w14:solidFill>
                </w14:textFill>
              </w:rPr>
            </w:pPr>
            <w:r>
              <w:rPr>
                <w:rFonts w:hint="eastAsia" w:ascii="宋体" w:hAnsi="宋体" w:eastAsia="宋体" w:cs="宋体"/>
                <w:b/>
                <w:bCs/>
                <w:color w:val="FFFFFF" w:themeColor="background1"/>
                <w:kern w:val="0"/>
                <w:sz w:val="18"/>
                <w:szCs w:val="18"/>
                <w14:textFill>
                  <w14:solidFill>
                    <w14:schemeClr w14:val="bg1"/>
                  </w14:solidFill>
                </w14:textFill>
              </w:rPr>
              <w:t>比较满意</w:t>
            </w:r>
          </w:p>
        </w:tc>
        <w:tc>
          <w:tcPr>
            <w:tcW w:w="1062" w:type="dxa"/>
            <w:tcBorders>
              <w:top w:val="single" w:color="ED7D31" w:themeColor="accent2" w:sz="4" w:space="0"/>
              <w:bottom w:val="single" w:color="ED7D31" w:themeColor="accent2" w:sz="4" w:space="0"/>
              <w:right w:val="nil"/>
              <w:insideH w:val="single" w:sz="4" w:space="0"/>
              <w:insideV w:val="nil"/>
            </w:tcBorders>
            <w:shd w:val="clear" w:color="auto" w:fill="ED7D31" w:themeFill="accent2"/>
            <w:vAlign w:val="center"/>
          </w:tcPr>
          <w:p>
            <w:pPr>
              <w:widowControl/>
              <w:jc w:val="center"/>
              <w:rPr>
                <w:rFonts w:ascii="宋体" w:hAnsi="宋体" w:eastAsia="宋体" w:cs="宋体"/>
                <w:b/>
                <w:bCs/>
                <w:color w:val="FFFFFF" w:themeColor="background1"/>
                <w:kern w:val="0"/>
                <w:sz w:val="18"/>
                <w:szCs w:val="18"/>
                <w14:textFill>
                  <w14:solidFill>
                    <w14:schemeClr w14:val="bg1"/>
                  </w14:solidFill>
                </w14:textFill>
              </w:rPr>
            </w:pPr>
            <w:r>
              <w:rPr>
                <w:rFonts w:hint="eastAsia" w:ascii="宋体" w:hAnsi="宋体" w:eastAsia="宋体" w:cs="宋体"/>
                <w:b/>
                <w:bCs/>
                <w:color w:val="FFFFFF" w:themeColor="background1"/>
                <w:kern w:val="0"/>
                <w:sz w:val="18"/>
                <w:szCs w:val="18"/>
                <w14:textFill>
                  <w14:solidFill>
                    <w14:schemeClr w14:val="bg1"/>
                  </w14:solidFill>
                </w14:textFill>
              </w:rPr>
              <w:t>不太满意</w:t>
            </w:r>
          </w:p>
        </w:tc>
        <w:tc>
          <w:tcPr>
            <w:tcW w:w="1062" w:type="dxa"/>
            <w:tcBorders>
              <w:top w:val="single" w:color="ED7D31" w:themeColor="accent2" w:sz="4" w:space="0"/>
              <w:bottom w:val="single" w:color="ED7D31" w:themeColor="accent2" w:sz="4" w:space="0"/>
              <w:right w:val="nil"/>
              <w:insideH w:val="single" w:sz="4" w:space="0"/>
              <w:insideV w:val="nil"/>
            </w:tcBorders>
            <w:shd w:val="clear" w:color="auto" w:fill="ED7D31" w:themeFill="accent2"/>
            <w:vAlign w:val="center"/>
          </w:tcPr>
          <w:p>
            <w:pPr>
              <w:widowControl/>
              <w:jc w:val="center"/>
              <w:rPr>
                <w:rFonts w:ascii="宋体" w:hAnsi="宋体" w:eastAsia="宋体" w:cs="宋体"/>
                <w:b/>
                <w:bCs/>
                <w:color w:val="FFFFFF" w:themeColor="background1"/>
                <w:kern w:val="0"/>
                <w:sz w:val="18"/>
                <w:szCs w:val="18"/>
                <w14:textFill>
                  <w14:solidFill>
                    <w14:schemeClr w14:val="bg1"/>
                  </w14:solidFill>
                </w14:textFill>
              </w:rPr>
            </w:pPr>
            <w:r>
              <w:rPr>
                <w:rFonts w:hint="eastAsia" w:ascii="宋体" w:hAnsi="宋体" w:eastAsia="宋体" w:cs="宋体"/>
                <w:b/>
                <w:bCs/>
                <w:color w:val="FFFFFF" w:themeColor="background1"/>
                <w:kern w:val="0"/>
                <w:sz w:val="18"/>
                <w:szCs w:val="18"/>
                <w14:textFill>
                  <w14:solidFill>
                    <w14:schemeClr w14:val="bg1"/>
                  </w14:solidFill>
                </w14:textFill>
              </w:rPr>
              <w:t>很不满意</w:t>
            </w:r>
          </w:p>
        </w:tc>
        <w:tc>
          <w:tcPr>
            <w:tcW w:w="1062" w:type="dxa"/>
            <w:tcBorders>
              <w:top w:val="single" w:color="ED7D31" w:themeColor="accent2" w:sz="4" w:space="0"/>
              <w:bottom w:val="single" w:color="ED7D31" w:themeColor="accent2" w:sz="4" w:space="0"/>
              <w:right w:val="single" w:color="ED7D31" w:themeColor="accent2" w:sz="4" w:space="0"/>
              <w:insideH w:val="single" w:sz="4" w:space="0"/>
              <w:insideV w:val="nil"/>
            </w:tcBorders>
            <w:shd w:val="clear" w:color="auto" w:fill="ED7D31" w:themeFill="accent2"/>
            <w:vAlign w:val="center"/>
          </w:tcPr>
          <w:p>
            <w:pPr>
              <w:widowControl/>
              <w:jc w:val="center"/>
              <w:rPr>
                <w:rFonts w:ascii="宋体" w:hAnsi="宋体" w:eastAsia="宋体" w:cs="宋体"/>
                <w:b/>
                <w:bCs/>
                <w:color w:val="FFFFFF" w:themeColor="background1"/>
                <w:kern w:val="0"/>
                <w:sz w:val="18"/>
                <w:szCs w:val="18"/>
                <w14:textFill>
                  <w14:solidFill>
                    <w14:schemeClr w14:val="bg1"/>
                  </w14:solidFill>
                </w14:textFill>
              </w:rPr>
            </w:pPr>
            <w:r>
              <w:rPr>
                <w:rFonts w:hint="eastAsia" w:ascii="宋体" w:hAnsi="宋体" w:eastAsia="宋体" w:cs="宋体"/>
                <w:b/>
                <w:bCs/>
                <w:color w:val="FFFFFF" w:themeColor="background1"/>
                <w:kern w:val="0"/>
                <w:sz w:val="18"/>
                <w:szCs w:val="18"/>
                <w14:textFill>
                  <w14:solidFill>
                    <w14:schemeClr w14:val="bg1"/>
                  </w14:solidFill>
                </w14:textFill>
              </w:rPr>
              <w:t>满意度</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920" w:type="dxa"/>
            <w:shd w:val="clear" w:color="auto" w:fill="FBE4D5" w:themeFill="accent2" w:themeFillTint="33"/>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创新能力</w:t>
            </w:r>
          </w:p>
        </w:tc>
        <w:tc>
          <w:tcPr>
            <w:tcW w:w="1064"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23.40</w:t>
            </w:r>
          </w:p>
        </w:tc>
        <w:tc>
          <w:tcPr>
            <w:tcW w:w="1064"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34.04</w:t>
            </w:r>
          </w:p>
        </w:tc>
        <w:tc>
          <w:tcPr>
            <w:tcW w:w="106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38.30</w:t>
            </w:r>
          </w:p>
        </w:tc>
        <w:tc>
          <w:tcPr>
            <w:tcW w:w="106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4.26</w:t>
            </w:r>
          </w:p>
        </w:tc>
        <w:tc>
          <w:tcPr>
            <w:tcW w:w="106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06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95.74</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920" w:type="dxa"/>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灵活应变能力</w:t>
            </w:r>
          </w:p>
        </w:tc>
        <w:tc>
          <w:tcPr>
            <w:tcW w:w="1064"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23.40</w:t>
            </w:r>
          </w:p>
        </w:tc>
        <w:tc>
          <w:tcPr>
            <w:tcW w:w="1064"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29.79</w:t>
            </w:r>
          </w:p>
        </w:tc>
        <w:tc>
          <w:tcPr>
            <w:tcW w:w="106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42.55</w:t>
            </w:r>
          </w:p>
        </w:tc>
        <w:tc>
          <w:tcPr>
            <w:tcW w:w="106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4.26</w:t>
            </w:r>
          </w:p>
        </w:tc>
        <w:tc>
          <w:tcPr>
            <w:tcW w:w="106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06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95.74</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920" w:type="dxa"/>
            <w:shd w:val="clear" w:color="auto" w:fill="FBE4D5" w:themeFill="accent2" w:themeFillTint="33"/>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语言表达能力</w:t>
            </w:r>
          </w:p>
        </w:tc>
        <w:tc>
          <w:tcPr>
            <w:tcW w:w="1064"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25.53</w:t>
            </w:r>
          </w:p>
        </w:tc>
        <w:tc>
          <w:tcPr>
            <w:tcW w:w="1064"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36.17</w:t>
            </w:r>
          </w:p>
        </w:tc>
        <w:tc>
          <w:tcPr>
            <w:tcW w:w="106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34.04</w:t>
            </w:r>
          </w:p>
        </w:tc>
        <w:tc>
          <w:tcPr>
            <w:tcW w:w="106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4.26</w:t>
            </w:r>
          </w:p>
        </w:tc>
        <w:tc>
          <w:tcPr>
            <w:tcW w:w="106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06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95.74</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920" w:type="dxa"/>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适应能力</w:t>
            </w:r>
          </w:p>
        </w:tc>
        <w:tc>
          <w:tcPr>
            <w:tcW w:w="1064"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23.40</w:t>
            </w:r>
          </w:p>
        </w:tc>
        <w:tc>
          <w:tcPr>
            <w:tcW w:w="1064"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40.43</w:t>
            </w:r>
          </w:p>
        </w:tc>
        <w:tc>
          <w:tcPr>
            <w:tcW w:w="106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29.79</w:t>
            </w:r>
          </w:p>
        </w:tc>
        <w:tc>
          <w:tcPr>
            <w:tcW w:w="106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6.38</w:t>
            </w:r>
          </w:p>
        </w:tc>
        <w:tc>
          <w:tcPr>
            <w:tcW w:w="106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06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93.62</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920" w:type="dxa"/>
            <w:shd w:val="clear" w:color="auto" w:fill="FBE4D5" w:themeFill="accent2" w:themeFillTint="33"/>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专业知识与技能</w:t>
            </w:r>
          </w:p>
        </w:tc>
        <w:tc>
          <w:tcPr>
            <w:tcW w:w="1064"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25.53</w:t>
            </w:r>
          </w:p>
        </w:tc>
        <w:tc>
          <w:tcPr>
            <w:tcW w:w="1064"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34.04</w:t>
            </w:r>
          </w:p>
        </w:tc>
        <w:tc>
          <w:tcPr>
            <w:tcW w:w="106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34.04</w:t>
            </w:r>
          </w:p>
        </w:tc>
        <w:tc>
          <w:tcPr>
            <w:tcW w:w="106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6.38</w:t>
            </w:r>
          </w:p>
        </w:tc>
        <w:tc>
          <w:tcPr>
            <w:tcW w:w="106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06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93.62</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920" w:type="dxa"/>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团队合作精神</w:t>
            </w:r>
          </w:p>
        </w:tc>
        <w:tc>
          <w:tcPr>
            <w:tcW w:w="1064"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27.66</w:t>
            </w:r>
          </w:p>
        </w:tc>
        <w:tc>
          <w:tcPr>
            <w:tcW w:w="1064"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36.17</w:t>
            </w:r>
          </w:p>
        </w:tc>
        <w:tc>
          <w:tcPr>
            <w:tcW w:w="106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27.66</w:t>
            </w:r>
          </w:p>
        </w:tc>
        <w:tc>
          <w:tcPr>
            <w:tcW w:w="106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8.51</w:t>
            </w:r>
          </w:p>
        </w:tc>
        <w:tc>
          <w:tcPr>
            <w:tcW w:w="106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06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91.49</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920" w:type="dxa"/>
            <w:shd w:val="clear" w:color="auto" w:fill="FBE4D5" w:themeFill="accent2" w:themeFillTint="33"/>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组织协调能力</w:t>
            </w:r>
          </w:p>
        </w:tc>
        <w:tc>
          <w:tcPr>
            <w:tcW w:w="1064"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23.40</w:t>
            </w:r>
          </w:p>
        </w:tc>
        <w:tc>
          <w:tcPr>
            <w:tcW w:w="1064"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34.04</w:t>
            </w:r>
          </w:p>
        </w:tc>
        <w:tc>
          <w:tcPr>
            <w:tcW w:w="106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34.04</w:t>
            </w:r>
          </w:p>
        </w:tc>
        <w:tc>
          <w:tcPr>
            <w:tcW w:w="106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8.51</w:t>
            </w:r>
          </w:p>
        </w:tc>
        <w:tc>
          <w:tcPr>
            <w:tcW w:w="106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06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91.49</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920" w:type="dxa"/>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执行力</w:t>
            </w:r>
          </w:p>
        </w:tc>
        <w:tc>
          <w:tcPr>
            <w:tcW w:w="1064"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27.66</w:t>
            </w:r>
          </w:p>
        </w:tc>
        <w:tc>
          <w:tcPr>
            <w:tcW w:w="1064"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21.28</w:t>
            </w:r>
          </w:p>
        </w:tc>
        <w:tc>
          <w:tcPr>
            <w:tcW w:w="106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42.55</w:t>
            </w:r>
          </w:p>
        </w:tc>
        <w:tc>
          <w:tcPr>
            <w:tcW w:w="106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8.51</w:t>
            </w:r>
          </w:p>
        </w:tc>
        <w:tc>
          <w:tcPr>
            <w:tcW w:w="106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06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91.49</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920" w:type="dxa"/>
            <w:shd w:val="clear" w:color="auto" w:fill="FBE4D5" w:themeFill="accent2" w:themeFillTint="33"/>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敬业精神与职业道德</w:t>
            </w:r>
          </w:p>
        </w:tc>
        <w:tc>
          <w:tcPr>
            <w:tcW w:w="1064"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27.66</w:t>
            </w:r>
          </w:p>
        </w:tc>
        <w:tc>
          <w:tcPr>
            <w:tcW w:w="1064"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31.91</w:t>
            </w:r>
          </w:p>
        </w:tc>
        <w:tc>
          <w:tcPr>
            <w:tcW w:w="106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29.79</w:t>
            </w:r>
          </w:p>
        </w:tc>
        <w:tc>
          <w:tcPr>
            <w:tcW w:w="106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10.64</w:t>
            </w:r>
          </w:p>
        </w:tc>
        <w:tc>
          <w:tcPr>
            <w:tcW w:w="106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06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89.36</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920" w:type="dxa"/>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自主学习能力</w:t>
            </w:r>
          </w:p>
        </w:tc>
        <w:tc>
          <w:tcPr>
            <w:tcW w:w="1064"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25.53</w:t>
            </w:r>
          </w:p>
        </w:tc>
        <w:tc>
          <w:tcPr>
            <w:tcW w:w="1064"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29.79</w:t>
            </w:r>
          </w:p>
        </w:tc>
        <w:tc>
          <w:tcPr>
            <w:tcW w:w="106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34.04</w:t>
            </w:r>
          </w:p>
        </w:tc>
        <w:tc>
          <w:tcPr>
            <w:tcW w:w="106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10.64</w:t>
            </w:r>
          </w:p>
        </w:tc>
        <w:tc>
          <w:tcPr>
            <w:tcW w:w="106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06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89.36</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920" w:type="dxa"/>
            <w:shd w:val="clear" w:color="auto" w:fill="FBE4D5" w:themeFill="accent2" w:themeFillTint="33"/>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抗压抗挫能力</w:t>
            </w:r>
          </w:p>
        </w:tc>
        <w:tc>
          <w:tcPr>
            <w:tcW w:w="1064"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19.15</w:t>
            </w:r>
          </w:p>
        </w:tc>
        <w:tc>
          <w:tcPr>
            <w:tcW w:w="1064"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23.40</w:t>
            </w:r>
          </w:p>
        </w:tc>
        <w:tc>
          <w:tcPr>
            <w:tcW w:w="106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46.81</w:t>
            </w:r>
          </w:p>
        </w:tc>
        <w:tc>
          <w:tcPr>
            <w:tcW w:w="106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10.64</w:t>
            </w:r>
          </w:p>
        </w:tc>
        <w:tc>
          <w:tcPr>
            <w:tcW w:w="106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062"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89.36</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1920" w:type="dxa"/>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吃苦耐劳精神</w:t>
            </w:r>
          </w:p>
        </w:tc>
        <w:tc>
          <w:tcPr>
            <w:tcW w:w="1064"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25.53</w:t>
            </w:r>
          </w:p>
        </w:tc>
        <w:tc>
          <w:tcPr>
            <w:tcW w:w="1064"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25.53</w:t>
            </w:r>
          </w:p>
        </w:tc>
        <w:tc>
          <w:tcPr>
            <w:tcW w:w="106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34.04</w:t>
            </w:r>
          </w:p>
        </w:tc>
        <w:tc>
          <w:tcPr>
            <w:tcW w:w="106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12.77</w:t>
            </w:r>
          </w:p>
        </w:tc>
        <w:tc>
          <w:tcPr>
            <w:tcW w:w="106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2.13</w:t>
            </w:r>
          </w:p>
        </w:tc>
        <w:tc>
          <w:tcPr>
            <w:tcW w:w="1062"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85.11</w:t>
            </w:r>
          </w:p>
        </w:tc>
      </w:tr>
    </w:tbl>
    <w:p>
      <w:pPr>
        <w:rPr>
          <w:sz w:val="18"/>
          <w:szCs w:val="18"/>
        </w:rPr>
      </w:pPr>
      <w:r>
        <w:rPr>
          <w:rFonts w:hint="eastAsia"/>
          <w:sz w:val="18"/>
          <w:szCs w:val="18"/>
        </w:rPr>
        <w:t>备注</w:t>
      </w:r>
      <w:r>
        <w:rPr>
          <w:sz w:val="18"/>
          <w:szCs w:val="18"/>
        </w:rPr>
        <w:t>：表中数据均表示百分比</w:t>
      </w:r>
      <w:r>
        <w:rPr>
          <w:rFonts w:hint="eastAsia"/>
          <w:sz w:val="18"/>
          <w:szCs w:val="18"/>
        </w:rPr>
        <w:t>，“满意度”包括“非常满意</w:t>
      </w:r>
      <w:r>
        <w:rPr>
          <w:sz w:val="18"/>
          <w:szCs w:val="18"/>
        </w:rPr>
        <w:t>、满意和比较满意</w:t>
      </w:r>
      <w:r>
        <w:rPr>
          <w:rFonts w:hint="eastAsia"/>
          <w:sz w:val="18"/>
          <w:szCs w:val="18"/>
        </w:rPr>
        <w:t>”</w:t>
      </w:r>
    </w:p>
    <w:p>
      <w:pPr>
        <w:pStyle w:val="30"/>
      </w:pPr>
      <w:bookmarkStart w:id="319" w:name="_Toc471310990"/>
      <w:bookmarkStart w:id="320" w:name="_Toc469038429"/>
      <w:r>
        <w:rPr>
          <w:rFonts w:hint="eastAsia"/>
        </w:rPr>
        <w:t>（二）用人单位</w:t>
      </w:r>
      <w:r>
        <w:t>对学校</w:t>
      </w:r>
      <w:r>
        <w:rPr>
          <w:rFonts w:hint="eastAsia"/>
        </w:rPr>
        <w:t>总体人才培养</w:t>
      </w:r>
      <w:r>
        <w:t>的评价</w:t>
      </w:r>
      <w:bookmarkEnd w:id="319"/>
      <w:bookmarkEnd w:id="320"/>
    </w:p>
    <w:p>
      <w:pPr>
        <w:pStyle w:val="40"/>
      </w:pPr>
      <w:r>
        <w:rPr>
          <w:rFonts w:hint="eastAsia"/>
        </w:rPr>
        <w:t>根据</w:t>
      </w:r>
      <w:r>
        <w:t>调研数据，</w:t>
      </w:r>
      <w:r>
        <w:rPr>
          <w:rFonts w:hint="eastAsia"/>
        </w:rPr>
        <w:t>用人单位</w:t>
      </w:r>
      <w:r>
        <w:t>对</w:t>
      </w:r>
      <w:r>
        <w:rPr>
          <w:rFonts w:hint="eastAsia"/>
        </w:rPr>
        <w:t>学校</w:t>
      </w:r>
      <w:r>
        <w:t>总体人才培养的满意度</w:t>
      </w:r>
      <w:r>
        <w:rPr>
          <w:rFonts w:hint="eastAsia"/>
        </w:rPr>
        <w:t>较高</w:t>
      </w:r>
      <w:r>
        <w:t>，</w:t>
      </w:r>
      <w:r>
        <w:rPr>
          <w:rFonts w:hint="eastAsia"/>
        </w:rPr>
        <w:t>有25.53</w:t>
      </w:r>
      <w:r>
        <w:t>%的</w:t>
      </w:r>
      <w:r>
        <w:rPr>
          <w:rFonts w:hint="eastAsia"/>
        </w:rPr>
        <w:t>用人单位</w:t>
      </w:r>
      <w:r>
        <w:t>表示</w:t>
      </w:r>
      <w:r>
        <w:rPr>
          <w:rFonts w:hint="eastAsia"/>
        </w:rPr>
        <w:t>“非常满意”，46.81</w:t>
      </w:r>
      <w:r>
        <w:t>%的用人单位表示</w:t>
      </w:r>
      <w:r>
        <w:rPr>
          <w:rFonts w:hint="eastAsia"/>
        </w:rPr>
        <w:t>“满意”，23.40</w:t>
      </w:r>
      <w:r>
        <w:t>%的用人单位表示</w:t>
      </w:r>
      <w:r>
        <w:rPr>
          <w:rFonts w:hint="eastAsia"/>
        </w:rPr>
        <w:t>“比较满意”，总体满意</w:t>
      </w:r>
      <w:r>
        <w:t>度</w:t>
      </w:r>
      <w:r>
        <w:rPr>
          <w:rFonts w:hint="eastAsia"/>
        </w:rPr>
        <w:t>95.74</w:t>
      </w:r>
      <w:r>
        <w:t>%</w:t>
      </w:r>
      <w:r>
        <w:rPr>
          <w:rFonts w:hint="eastAsia"/>
        </w:rPr>
        <w:t>。</w:t>
      </w:r>
      <w:r>
        <w:t>详见图</w:t>
      </w:r>
      <w:r>
        <w:rPr>
          <w:rFonts w:hint="eastAsia"/>
        </w:rPr>
        <w:t>6</w:t>
      </w:r>
      <w:r>
        <w:t>-16。</w:t>
      </w:r>
    </w:p>
    <w:p>
      <w:pPr>
        <w:jc w:val="center"/>
      </w:pPr>
      <w:r>
        <w:drawing>
          <wp:inline distT="0" distB="0" distL="0" distR="0">
            <wp:extent cx="4257675" cy="2514600"/>
            <wp:effectExtent l="0" t="0" r="9525" b="0"/>
            <wp:docPr id="61" name="图表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pPr>
        <w:pStyle w:val="8"/>
        <w:jc w:val="center"/>
        <w:rPr>
          <w:rFonts w:asciiTheme="minorEastAsia" w:hAnsiTheme="minorEastAsia" w:eastAsiaTheme="minorEastAsia"/>
          <w:sz w:val="18"/>
          <w:szCs w:val="18"/>
        </w:rPr>
      </w:pPr>
      <w:bookmarkStart w:id="321" w:name="_Toc470887012"/>
      <w:r>
        <w:rPr>
          <w:rFonts w:hint="eastAsia" w:asciiTheme="minorEastAsia" w:hAnsiTheme="minorEastAsia" w:eastAsiaTheme="minorEastAsia"/>
          <w:sz w:val="18"/>
          <w:szCs w:val="18"/>
        </w:rPr>
        <w:t>图6-</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图6-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16</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用人单位对学校总体人才培养的评价</w:t>
      </w:r>
      <w:bookmarkEnd w:id="321"/>
    </w:p>
    <w:p>
      <w:pPr>
        <w:pStyle w:val="30"/>
      </w:pPr>
      <w:bookmarkStart w:id="322" w:name="_Toc471310991"/>
      <w:bookmarkStart w:id="323" w:name="_Toc469038430"/>
      <w:r>
        <w:rPr>
          <w:rFonts w:hint="eastAsia"/>
        </w:rPr>
        <w:t>（三）用人单位</w:t>
      </w:r>
      <w:r>
        <w:t>对学校就业服务的评价</w:t>
      </w:r>
      <w:bookmarkEnd w:id="322"/>
      <w:bookmarkEnd w:id="323"/>
    </w:p>
    <w:p>
      <w:pPr>
        <w:pStyle w:val="40"/>
      </w:pPr>
      <w:r>
        <w:rPr>
          <w:rFonts w:hint="eastAsia"/>
        </w:rPr>
        <w:t>用人单位</w:t>
      </w:r>
      <w:r>
        <w:t>对学校就业服务的满意度</w:t>
      </w:r>
      <w:r>
        <w:rPr>
          <w:rFonts w:hint="eastAsia"/>
        </w:rPr>
        <w:t>很高</w:t>
      </w:r>
      <w:r>
        <w:t>，除</w:t>
      </w:r>
      <w:r>
        <w:rPr>
          <w:rFonts w:hint="eastAsia"/>
        </w:rPr>
        <w:t>对“就业网站建设及信息服务”满意度相对</w:t>
      </w:r>
      <w:r>
        <w:t>较低外</w:t>
      </w:r>
      <w:r>
        <w:rPr>
          <w:rFonts w:hint="eastAsia"/>
        </w:rPr>
        <w:t>，对</w:t>
      </w:r>
      <w:r>
        <w:t>就业服务其他</w:t>
      </w:r>
      <w:r>
        <w:rPr>
          <w:rFonts w:hint="eastAsia"/>
        </w:rPr>
        <w:t>工作的</w:t>
      </w:r>
      <w:r>
        <w:t>满意</w:t>
      </w:r>
      <w:r>
        <w:rPr>
          <w:rFonts w:hint="eastAsia"/>
        </w:rPr>
        <w:t>6</w:t>
      </w:r>
      <w:r>
        <w:t>-16度均</w:t>
      </w:r>
      <w:r>
        <w:rPr>
          <w:rFonts w:hint="eastAsia"/>
        </w:rPr>
        <w:t>达到</w:t>
      </w:r>
      <w:r>
        <w:t>90</w:t>
      </w:r>
      <w:r>
        <w:rPr>
          <w:rFonts w:hint="eastAsia"/>
        </w:rPr>
        <w:t>.00</w:t>
      </w:r>
      <w:r>
        <w:t>%</w:t>
      </w:r>
      <w:r>
        <w:rPr>
          <w:rFonts w:hint="eastAsia"/>
        </w:rPr>
        <w:t>以上。详见表6</w:t>
      </w:r>
      <w:r>
        <w:t>-6</w:t>
      </w:r>
      <w:r>
        <w:rPr>
          <w:rFonts w:hint="eastAsia"/>
        </w:rPr>
        <w:t>。</w:t>
      </w:r>
    </w:p>
    <w:p>
      <w:pPr>
        <w:pStyle w:val="8"/>
        <w:jc w:val="center"/>
        <w:rPr>
          <w:rFonts w:asciiTheme="minorEastAsia" w:hAnsiTheme="minorEastAsia" w:eastAsiaTheme="minorEastAsia"/>
          <w:sz w:val="18"/>
          <w:szCs w:val="18"/>
        </w:rPr>
      </w:pPr>
      <w:bookmarkStart w:id="324" w:name="_Toc470886957"/>
      <w:r>
        <w:rPr>
          <w:rFonts w:hint="eastAsia" w:asciiTheme="minorEastAsia" w:hAnsiTheme="minorEastAsia" w:eastAsiaTheme="minorEastAsia"/>
          <w:sz w:val="18"/>
          <w:szCs w:val="18"/>
        </w:rPr>
        <w:t>表6-</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表6-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6</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用人单位</w:t>
      </w:r>
      <w:r>
        <w:rPr>
          <w:rFonts w:asciiTheme="minorEastAsia" w:hAnsiTheme="minorEastAsia" w:eastAsiaTheme="minorEastAsia"/>
          <w:sz w:val="18"/>
          <w:szCs w:val="18"/>
        </w:rPr>
        <w:t>对学校就业服务的评价</w:t>
      </w:r>
      <w:bookmarkEnd w:id="324"/>
    </w:p>
    <w:tbl>
      <w:tblPr>
        <w:tblStyle w:val="50"/>
        <w:tblW w:w="8997" w:type="dxa"/>
        <w:jc w:val="center"/>
        <w:tblInd w:w="0" w:type="dxa"/>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
      <w:tblGrid>
        <w:gridCol w:w="3816"/>
        <w:gridCol w:w="939"/>
        <w:gridCol w:w="666"/>
        <w:gridCol w:w="939"/>
        <w:gridCol w:w="939"/>
        <w:gridCol w:w="939"/>
        <w:gridCol w:w="759"/>
      </w:tblGrid>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3816" w:type="dxa"/>
            <w:tcBorders>
              <w:top w:val="single" w:color="ED7D31" w:themeColor="accent2" w:sz="4" w:space="0"/>
              <w:left w:val="single" w:color="ED7D31" w:themeColor="accent2" w:sz="4" w:space="0"/>
              <w:bottom w:val="single" w:color="ED7D31" w:themeColor="accent2" w:sz="4" w:space="0"/>
              <w:right w:val="nil"/>
              <w:insideH w:val="single" w:sz="4" w:space="0"/>
              <w:insideV w:val="nil"/>
            </w:tcBorders>
            <w:shd w:val="clear" w:color="auto" w:fill="ED7D31" w:themeFill="accent2"/>
            <w:vAlign w:val="center"/>
          </w:tcPr>
          <w:p>
            <w:pPr>
              <w:widowControl/>
              <w:jc w:val="center"/>
              <w:rPr>
                <w:rFonts w:ascii="宋体" w:hAnsi="宋体" w:eastAsia="宋体" w:cs="宋体"/>
                <w:b/>
                <w:bCs/>
                <w:color w:val="FFFFFF" w:themeColor="background1"/>
                <w:kern w:val="0"/>
                <w:sz w:val="18"/>
                <w:szCs w:val="18"/>
                <w14:textFill>
                  <w14:solidFill>
                    <w14:schemeClr w14:val="bg1"/>
                  </w14:solidFill>
                </w14:textFill>
              </w:rPr>
            </w:pPr>
            <w:r>
              <w:rPr>
                <w:rFonts w:hint="eastAsia" w:ascii="宋体" w:hAnsi="宋体" w:eastAsia="宋体" w:cs="宋体"/>
                <w:b/>
                <w:bCs/>
                <w:color w:val="FFFFFF" w:themeColor="background1"/>
                <w:kern w:val="0"/>
                <w:sz w:val="18"/>
                <w:szCs w:val="18"/>
                <w14:textFill>
                  <w14:solidFill>
                    <w14:schemeClr w14:val="bg1"/>
                  </w14:solidFill>
                </w14:textFill>
              </w:rPr>
              <w:t>就业服务</w:t>
            </w:r>
          </w:p>
        </w:tc>
        <w:tc>
          <w:tcPr>
            <w:tcW w:w="939" w:type="dxa"/>
            <w:tcBorders>
              <w:top w:val="single" w:color="ED7D31" w:themeColor="accent2" w:sz="4" w:space="0"/>
              <w:bottom w:val="single" w:color="ED7D31" w:themeColor="accent2" w:sz="4" w:space="0"/>
              <w:right w:val="nil"/>
              <w:insideH w:val="single" w:sz="4" w:space="0"/>
              <w:insideV w:val="nil"/>
            </w:tcBorders>
            <w:shd w:val="clear" w:color="auto" w:fill="ED7D31" w:themeFill="accent2"/>
            <w:vAlign w:val="center"/>
          </w:tcPr>
          <w:p>
            <w:pPr>
              <w:widowControl/>
              <w:jc w:val="center"/>
              <w:rPr>
                <w:rFonts w:ascii="宋体" w:hAnsi="宋体" w:eastAsia="宋体" w:cs="宋体"/>
                <w:b/>
                <w:bCs/>
                <w:color w:val="FFFFFF" w:themeColor="background1"/>
                <w:kern w:val="0"/>
                <w:sz w:val="18"/>
                <w:szCs w:val="18"/>
                <w14:textFill>
                  <w14:solidFill>
                    <w14:schemeClr w14:val="bg1"/>
                  </w14:solidFill>
                </w14:textFill>
              </w:rPr>
            </w:pPr>
            <w:r>
              <w:rPr>
                <w:rFonts w:hint="eastAsia" w:ascii="宋体" w:hAnsi="宋体" w:eastAsia="宋体" w:cs="宋体"/>
                <w:b/>
                <w:bCs/>
                <w:color w:val="FFFFFF" w:themeColor="background1"/>
                <w:kern w:val="0"/>
                <w:sz w:val="18"/>
                <w:szCs w:val="18"/>
                <w14:textFill>
                  <w14:solidFill>
                    <w14:schemeClr w14:val="bg1"/>
                  </w14:solidFill>
                </w14:textFill>
              </w:rPr>
              <w:t>非常满意</w:t>
            </w:r>
          </w:p>
        </w:tc>
        <w:tc>
          <w:tcPr>
            <w:tcW w:w="666" w:type="dxa"/>
            <w:tcBorders>
              <w:top w:val="single" w:color="ED7D31" w:themeColor="accent2" w:sz="4" w:space="0"/>
              <w:bottom w:val="single" w:color="ED7D31" w:themeColor="accent2" w:sz="4" w:space="0"/>
              <w:right w:val="nil"/>
              <w:insideH w:val="single" w:sz="4" w:space="0"/>
              <w:insideV w:val="nil"/>
            </w:tcBorders>
            <w:shd w:val="clear" w:color="auto" w:fill="ED7D31" w:themeFill="accent2"/>
            <w:vAlign w:val="center"/>
          </w:tcPr>
          <w:p>
            <w:pPr>
              <w:widowControl/>
              <w:jc w:val="center"/>
              <w:rPr>
                <w:rFonts w:ascii="宋体" w:hAnsi="宋体" w:eastAsia="宋体" w:cs="宋体"/>
                <w:b/>
                <w:bCs/>
                <w:color w:val="FFFFFF" w:themeColor="background1"/>
                <w:kern w:val="0"/>
                <w:sz w:val="18"/>
                <w:szCs w:val="18"/>
                <w14:textFill>
                  <w14:solidFill>
                    <w14:schemeClr w14:val="bg1"/>
                  </w14:solidFill>
                </w14:textFill>
              </w:rPr>
            </w:pPr>
            <w:r>
              <w:rPr>
                <w:rFonts w:hint="eastAsia" w:ascii="宋体" w:hAnsi="宋体" w:eastAsia="宋体" w:cs="宋体"/>
                <w:b/>
                <w:bCs/>
                <w:color w:val="FFFFFF" w:themeColor="background1"/>
                <w:kern w:val="0"/>
                <w:sz w:val="18"/>
                <w:szCs w:val="18"/>
                <w14:textFill>
                  <w14:solidFill>
                    <w14:schemeClr w14:val="bg1"/>
                  </w14:solidFill>
                </w14:textFill>
              </w:rPr>
              <w:t>满意</w:t>
            </w:r>
          </w:p>
        </w:tc>
        <w:tc>
          <w:tcPr>
            <w:tcW w:w="939" w:type="dxa"/>
            <w:tcBorders>
              <w:top w:val="single" w:color="ED7D31" w:themeColor="accent2" w:sz="4" w:space="0"/>
              <w:bottom w:val="single" w:color="ED7D31" w:themeColor="accent2" w:sz="4" w:space="0"/>
              <w:right w:val="nil"/>
              <w:insideH w:val="single" w:sz="4" w:space="0"/>
              <w:insideV w:val="nil"/>
            </w:tcBorders>
            <w:shd w:val="clear" w:color="auto" w:fill="ED7D31" w:themeFill="accent2"/>
            <w:vAlign w:val="center"/>
          </w:tcPr>
          <w:p>
            <w:pPr>
              <w:widowControl/>
              <w:jc w:val="center"/>
              <w:rPr>
                <w:rFonts w:ascii="宋体" w:hAnsi="宋体" w:eastAsia="宋体" w:cs="宋体"/>
                <w:b/>
                <w:bCs/>
                <w:color w:val="FFFFFF" w:themeColor="background1"/>
                <w:kern w:val="0"/>
                <w:sz w:val="18"/>
                <w:szCs w:val="18"/>
                <w14:textFill>
                  <w14:solidFill>
                    <w14:schemeClr w14:val="bg1"/>
                  </w14:solidFill>
                </w14:textFill>
              </w:rPr>
            </w:pPr>
            <w:r>
              <w:rPr>
                <w:rFonts w:hint="eastAsia" w:ascii="宋体" w:hAnsi="宋体" w:eastAsia="宋体" w:cs="宋体"/>
                <w:b/>
                <w:bCs/>
                <w:color w:val="FFFFFF" w:themeColor="background1"/>
                <w:kern w:val="0"/>
                <w:sz w:val="18"/>
                <w:szCs w:val="18"/>
                <w14:textFill>
                  <w14:solidFill>
                    <w14:schemeClr w14:val="bg1"/>
                  </w14:solidFill>
                </w14:textFill>
              </w:rPr>
              <w:t>比较满意</w:t>
            </w:r>
          </w:p>
        </w:tc>
        <w:tc>
          <w:tcPr>
            <w:tcW w:w="939" w:type="dxa"/>
            <w:tcBorders>
              <w:top w:val="single" w:color="ED7D31" w:themeColor="accent2" w:sz="4" w:space="0"/>
              <w:bottom w:val="single" w:color="ED7D31" w:themeColor="accent2" w:sz="4" w:space="0"/>
              <w:right w:val="nil"/>
              <w:insideH w:val="single" w:sz="4" w:space="0"/>
              <w:insideV w:val="nil"/>
            </w:tcBorders>
            <w:shd w:val="clear" w:color="auto" w:fill="ED7D31" w:themeFill="accent2"/>
            <w:vAlign w:val="center"/>
          </w:tcPr>
          <w:p>
            <w:pPr>
              <w:widowControl/>
              <w:jc w:val="center"/>
              <w:rPr>
                <w:rFonts w:ascii="宋体" w:hAnsi="宋体" w:eastAsia="宋体" w:cs="宋体"/>
                <w:b/>
                <w:bCs/>
                <w:color w:val="FFFFFF" w:themeColor="background1"/>
                <w:kern w:val="0"/>
                <w:sz w:val="18"/>
                <w:szCs w:val="18"/>
                <w14:textFill>
                  <w14:solidFill>
                    <w14:schemeClr w14:val="bg1"/>
                  </w14:solidFill>
                </w14:textFill>
              </w:rPr>
            </w:pPr>
            <w:r>
              <w:rPr>
                <w:rFonts w:hint="eastAsia" w:ascii="宋体" w:hAnsi="宋体" w:eastAsia="宋体" w:cs="宋体"/>
                <w:b/>
                <w:bCs/>
                <w:color w:val="FFFFFF" w:themeColor="background1"/>
                <w:kern w:val="0"/>
                <w:sz w:val="18"/>
                <w:szCs w:val="18"/>
                <w14:textFill>
                  <w14:solidFill>
                    <w14:schemeClr w14:val="bg1"/>
                  </w14:solidFill>
                </w14:textFill>
              </w:rPr>
              <w:t>不太满意</w:t>
            </w:r>
          </w:p>
        </w:tc>
        <w:tc>
          <w:tcPr>
            <w:tcW w:w="939" w:type="dxa"/>
            <w:tcBorders>
              <w:top w:val="single" w:color="ED7D31" w:themeColor="accent2" w:sz="4" w:space="0"/>
              <w:bottom w:val="single" w:color="ED7D31" w:themeColor="accent2" w:sz="4" w:space="0"/>
              <w:right w:val="nil"/>
              <w:insideH w:val="single" w:sz="4" w:space="0"/>
              <w:insideV w:val="nil"/>
            </w:tcBorders>
            <w:shd w:val="clear" w:color="auto" w:fill="ED7D31" w:themeFill="accent2"/>
            <w:vAlign w:val="center"/>
          </w:tcPr>
          <w:p>
            <w:pPr>
              <w:widowControl/>
              <w:jc w:val="center"/>
              <w:rPr>
                <w:rFonts w:ascii="宋体" w:hAnsi="宋体" w:eastAsia="宋体" w:cs="宋体"/>
                <w:b/>
                <w:bCs/>
                <w:color w:val="FFFFFF" w:themeColor="background1"/>
                <w:kern w:val="0"/>
                <w:sz w:val="18"/>
                <w:szCs w:val="18"/>
                <w14:textFill>
                  <w14:solidFill>
                    <w14:schemeClr w14:val="bg1"/>
                  </w14:solidFill>
                </w14:textFill>
              </w:rPr>
            </w:pPr>
            <w:r>
              <w:rPr>
                <w:rFonts w:hint="eastAsia" w:ascii="宋体" w:hAnsi="宋体" w:eastAsia="宋体" w:cs="宋体"/>
                <w:b/>
                <w:bCs/>
                <w:color w:val="FFFFFF" w:themeColor="background1"/>
                <w:kern w:val="0"/>
                <w:sz w:val="18"/>
                <w:szCs w:val="18"/>
                <w14:textFill>
                  <w14:solidFill>
                    <w14:schemeClr w14:val="bg1"/>
                  </w14:solidFill>
                </w14:textFill>
              </w:rPr>
              <w:t>很不满意</w:t>
            </w:r>
          </w:p>
        </w:tc>
        <w:tc>
          <w:tcPr>
            <w:tcW w:w="759" w:type="dxa"/>
            <w:tcBorders>
              <w:top w:val="single" w:color="ED7D31" w:themeColor="accent2" w:sz="4" w:space="0"/>
              <w:bottom w:val="single" w:color="ED7D31" w:themeColor="accent2" w:sz="4" w:space="0"/>
              <w:right w:val="single" w:color="ED7D31" w:themeColor="accent2" w:sz="4" w:space="0"/>
              <w:insideH w:val="single" w:sz="4" w:space="0"/>
              <w:insideV w:val="nil"/>
            </w:tcBorders>
            <w:shd w:val="clear" w:color="auto" w:fill="ED7D31" w:themeFill="accent2"/>
            <w:vAlign w:val="center"/>
          </w:tcPr>
          <w:p>
            <w:pPr>
              <w:widowControl/>
              <w:jc w:val="center"/>
              <w:rPr>
                <w:rFonts w:ascii="宋体" w:hAnsi="宋体" w:eastAsia="宋体" w:cs="宋体"/>
                <w:b/>
                <w:bCs/>
                <w:color w:val="FFFFFF" w:themeColor="background1"/>
                <w:kern w:val="0"/>
                <w:sz w:val="18"/>
                <w:szCs w:val="18"/>
                <w14:textFill>
                  <w14:solidFill>
                    <w14:schemeClr w14:val="bg1"/>
                  </w14:solidFill>
                </w14:textFill>
              </w:rPr>
            </w:pPr>
            <w:r>
              <w:rPr>
                <w:rFonts w:hint="eastAsia" w:ascii="宋体" w:hAnsi="宋体" w:eastAsia="宋体" w:cs="宋体"/>
                <w:b/>
                <w:bCs/>
                <w:color w:val="FFFFFF" w:themeColor="background1"/>
                <w:kern w:val="0"/>
                <w:sz w:val="18"/>
                <w:szCs w:val="18"/>
                <w14:textFill>
                  <w14:solidFill>
                    <w14:schemeClr w14:val="bg1"/>
                  </w14:solidFill>
                </w14:textFill>
              </w:rPr>
              <w:t>满意度</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3816" w:type="dxa"/>
            <w:shd w:val="clear" w:color="auto" w:fill="FBE4D5" w:themeFill="accent2" w:themeFillTint="33"/>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档案管理及传递</w:t>
            </w:r>
          </w:p>
        </w:tc>
        <w:tc>
          <w:tcPr>
            <w:tcW w:w="939"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29.79</w:t>
            </w:r>
          </w:p>
        </w:tc>
        <w:tc>
          <w:tcPr>
            <w:tcW w:w="666"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40.43</w:t>
            </w:r>
          </w:p>
        </w:tc>
        <w:tc>
          <w:tcPr>
            <w:tcW w:w="939"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25.53</w:t>
            </w:r>
          </w:p>
        </w:tc>
        <w:tc>
          <w:tcPr>
            <w:tcW w:w="939"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4.26</w:t>
            </w:r>
          </w:p>
        </w:tc>
        <w:tc>
          <w:tcPr>
            <w:tcW w:w="939"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759"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95.74</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3816" w:type="dxa"/>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组织毕业生参会情况</w:t>
            </w:r>
          </w:p>
        </w:tc>
        <w:tc>
          <w:tcPr>
            <w:tcW w:w="939"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17.02</w:t>
            </w:r>
          </w:p>
        </w:tc>
        <w:tc>
          <w:tcPr>
            <w:tcW w:w="666"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29.79</w:t>
            </w:r>
          </w:p>
        </w:tc>
        <w:tc>
          <w:tcPr>
            <w:tcW w:w="939"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44.68</w:t>
            </w:r>
          </w:p>
        </w:tc>
        <w:tc>
          <w:tcPr>
            <w:tcW w:w="939"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6.38</w:t>
            </w:r>
          </w:p>
        </w:tc>
        <w:tc>
          <w:tcPr>
            <w:tcW w:w="939"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2.13</w:t>
            </w:r>
          </w:p>
        </w:tc>
        <w:tc>
          <w:tcPr>
            <w:tcW w:w="759"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91.49</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3816" w:type="dxa"/>
            <w:shd w:val="clear" w:color="auto" w:fill="FBE4D5" w:themeFill="accent2" w:themeFillTint="33"/>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个性化服务（单独面试室及其定时段等要求）</w:t>
            </w:r>
          </w:p>
        </w:tc>
        <w:tc>
          <w:tcPr>
            <w:tcW w:w="939"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23.40</w:t>
            </w:r>
          </w:p>
        </w:tc>
        <w:tc>
          <w:tcPr>
            <w:tcW w:w="666"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36.17</w:t>
            </w:r>
          </w:p>
        </w:tc>
        <w:tc>
          <w:tcPr>
            <w:tcW w:w="939"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31.91</w:t>
            </w:r>
          </w:p>
        </w:tc>
        <w:tc>
          <w:tcPr>
            <w:tcW w:w="939"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8.51</w:t>
            </w:r>
          </w:p>
        </w:tc>
        <w:tc>
          <w:tcPr>
            <w:tcW w:w="939"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759"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91.49</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3816" w:type="dxa"/>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招聘场地安排对接</w:t>
            </w:r>
          </w:p>
        </w:tc>
        <w:tc>
          <w:tcPr>
            <w:tcW w:w="939"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27.66</w:t>
            </w:r>
          </w:p>
        </w:tc>
        <w:tc>
          <w:tcPr>
            <w:tcW w:w="666"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44.68</w:t>
            </w:r>
          </w:p>
        </w:tc>
        <w:tc>
          <w:tcPr>
            <w:tcW w:w="939"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19.15</w:t>
            </w:r>
          </w:p>
        </w:tc>
        <w:tc>
          <w:tcPr>
            <w:tcW w:w="939"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8.51</w:t>
            </w:r>
          </w:p>
        </w:tc>
        <w:tc>
          <w:tcPr>
            <w:tcW w:w="939"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759" w:type="dxa"/>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91.49</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3816" w:type="dxa"/>
            <w:shd w:val="clear" w:color="auto" w:fill="FBE4D5" w:themeFill="accent2" w:themeFillTint="33"/>
            <w:vAlign w:val="center"/>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就业网站建设及信息服务</w:t>
            </w:r>
          </w:p>
        </w:tc>
        <w:tc>
          <w:tcPr>
            <w:tcW w:w="939"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27.66</w:t>
            </w:r>
          </w:p>
        </w:tc>
        <w:tc>
          <w:tcPr>
            <w:tcW w:w="666"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42.55</w:t>
            </w:r>
          </w:p>
        </w:tc>
        <w:tc>
          <w:tcPr>
            <w:tcW w:w="939"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19.15</w:t>
            </w:r>
          </w:p>
        </w:tc>
        <w:tc>
          <w:tcPr>
            <w:tcW w:w="939"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10.64</w:t>
            </w:r>
          </w:p>
        </w:tc>
        <w:tc>
          <w:tcPr>
            <w:tcW w:w="939"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759" w:type="dxa"/>
            <w:shd w:val="clear" w:color="auto" w:fill="FBE4D5" w:themeFill="accent2" w:themeFillTint="33"/>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89.36</w:t>
            </w:r>
          </w:p>
        </w:tc>
      </w:tr>
    </w:tbl>
    <w:p>
      <w:pPr>
        <w:spacing w:line="360" w:lineRule="auto"/>
        <w:rPr>
          <w:sz w:val="18"/>
          <w:szCs w:val="18"/>
        </w:rPr>
      </w:pPr>
      <w:r>
        <w:rPr>
          <w:rFonts w:hint="eastAsia"/>
          <w:sz w:val="18"/>
          <w:szCs w:val="18"/>
        </w:rPr>
        <w:t>备注</w:t>
      </w:r>
      <w:r>
        <w:rPr>
          <w:sz w:val="18"/>
          <w:szCs w:val="18"/>
        </w:rPr>
        <w:t>：表中数据均表示百分比</w:t>
      </w:r>
      <w:r>
        <w:rPr>
          <w:rFonts w:hint="eastAsia"/>
          <w:sz w:val="18"/>
          <w:szCs w:val="18"/>
        </w:rPr>
        <w:t>，“满意度”包括“非常满意</w:t>
      </w:r>
      <w:r>
        <w:rPr>
          <w:sz w:val="18"/>
          <w:szCs w:val="18"/>
        </w:rPr>
        <w:t>、满意和比较满意</w:t>
      </w:r>
      <w:r>
        <w:rPr>
          <w:rFonts w:hint="eastAsia"/>
          <w:sz w:val="18"/>
          <w:szCs w:val="18"/>
        </w:rPr>
        <w:t>”</w:t>
      </w:r>
    </w:p>
    <w:p>
      <w:pPr>
        <w:pStyle w:val="30"/>
      </w:pPr>
      <w:bookmarkStart w:id="325" w:name="_Toc469038431"/>
      <w:bookmarkStart w:id="326" w:name="_Toc471310992"/>
      <w:r>
        <w:rPr>
          <w:rFonts w:hint="eastAsia"/>
        </w:rPr>
        <w:t>（四）用人</w:t>
      </w:r>
      <w:r>
        <w:t>单位</w:t>
      </w:r>
      <w:r>
        <w:rPr>
          <w:rFonts w:hint="eastAsia"/>
        </w:rPr>
        <w:t>对学校</w:t>
      </w:r>
      <w:r>
        <w:t>就业服务的反馈建议</w:t>
      </w:r>
      <w:bookmarkEnd w:id="325"/>
      <w:bookmarkEnd w:id="326"/>
    </w:p>
    <w:p>
      <w:pPr>
        <w:pStyle w:val="40"/>
      </w:pPr>
      <w:r>
        <w:rPr>
          <w:rFonts w:hint="eastAsia"/>
        </w:rPr>
        <w:t>用人</w:t>
      </w:r>
      <w:r>
        <w:t>单位对学校就业服务工作的反馈</w:t>
      </w:r>
      <w:r>
        <w:rPr>
          <w:rFonts w:hint="eastAsia"/>
        </w:rPr>
        <w:t>，</w:t>
      </w:r>
      <w:r>
        <w:t>如下图所示</w:t>
      </w:r>
      <w:r>
        <w:rPr>
          <w:rFonts w:hint="eastAsia"/>
        </w:rPr>
        <w:t>，</w:t>
      </w:r>
      <w:r>
        <w:t>用人单位</w:t>
      </w:r>
      <w:r>
        <w:rPr>
          <w:rFonts w:hint="eastAsia"/>
        </w:rPr>
        <w:t>反馈</w:t>
      </w:r>
      <w:r>
        <w:t>最多的是</w:t>
      </w:r>
      <w:r>
        <w:rPr>
          <w:rFonts w:hint="eastAsia"/>
        </w:rPr>
        <w:t>希望</w:t>
      </w:r>
      <w:r>
        <w:t>学校</w:t>
      </w:r>
      <w:r>
        <w:rPr>
          <w:rFonts w:hint="eastAsia"/>
        </w:rPr>
        <w:t xml:space="preserve"> “加大对应届毕业生的推荐力度”，而</w:t>
      </w:r>
      <w:r>
        <w:t>对</w:t>
      </w:r>
      <w:r>
        <w:rPr>
          <w:rFonts w:hint="eastAsia"/>
        </w:rPr>
        <w:t xml:space="preserve"> “及时更新发布招聘信息”的</w:t>
      </w:r>
      <w:r>
        <w:t>反馈建议相对较少</w:t>
      </w:r>
      <w:r>
        <w:rPr>
          <w:rFonts w:hint="eastAsia"/>
        </w:rPr>
        <w:t>，</w:t>
      </w:r>
      <w:r>
        <w:t>说明</w:t>
      </w:r>
      <w:r>
        <w:rPr>
          <w:rFonts w:hint="eastAsia"/>
        </w:rPr>
        <w:t>学校</w:t>
      </w:r>
      <w:r>
        <w:t>这部分工作做的相对来说比较好。</w:t>
      </w:r>
      <w:r>
        <w:rPr>
          <w:rFonts w:hint="eastAsia"/>
        </w:rPr>
        <w:t>详细</w:t>
      </w:r>
      <w:r>
        <w:t>数据</w:t>
      </w:r>
      <w:r>
        <w:rPr>
          <w:rFonts w:hint="eastAsia"/>
        </w:rPr>
        <w:t>见图6</w:t>
      </w:r>
      <w:r>
        <w:t>-17。</w:t>
      </w:r>
    </w:p>
    <w:p>
      <w:pPr>
        <w:jc w:val="center"/>
      </w:pPr>
      <w:r>
        <w:drawing>
          <wp:inline distT="0" distB="0" distL="0" distR="0">
            <wp:extent cx="4667250" cy="2476500"/>
            <wp:effectExtent l="0" t="0" r="0" b="0"/>
            <wp:docPr id="62" name="图表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pPr>
        <w:pStyle w:val="8"/>
        <w:jc w:val="center"/>
        <w:rPr>
          <w:rFonts w:asciiTheme="minorEastAsia" w:hAnsiTheme="minorEastAsia" w:eastAsiaTheme="minorEastAsia"/>
          <w:sz w:val="18"/>
          <w:szCs w:val="18"/>
        </w:rPr>
      </w:pPr>
      <w:bookmarkStart w:id="327" w:name="_Toc470887013"/>
      <w:r>
        <w:rPr>
          <w:rFonts w:hint="eastAsia" w:asciiTheme="minorEastAsia" w:hAnsiTheme="minorEastAsia" w:eastAsiaTheme="minorEastAsia"/>
          <w:sz w:val="18"/>
          <w:szCs w:val="18"/>
        </w:rPr>
        <w:t>图6-</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图6-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17</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用人单位对学校就业服务的反馈建议</w:t>
      </w:r>
      <w:bookmarkEnd w:id="327"/>
    </w:p>
    <w:p>
      <w:pPr>
        <w:pStyle w:val="25"/>
      </w:pPr>
      <w:bookmarkStart w:id="328" w:name="_Toc469038432"/>
      <w:bookmarkStart w:id="329" w:name="_Toc471310993"/>
      <w:bookmarkStart w:id="330" w:name="_Toc462142856"/>
      <w:r>
        <w:rPr>
          <w:rFonts w:hint="eastAsia"/>
        </w:rPr>
        <w:t>六</w:t>
      </w:r>
      <w:r>
        <w:t>、</w:t>
      </w:r>
      <w:r>
        <w:rPr>
          <w:rFonts w:hint="eastAsia"/>
        </w:rPr>
        <w:t>用人单位</w:t>
      </w:r>
      <w:r>
        <w:t>对毕业生</w:t>
      </w:r>
      <w:r>
        <w:rPr>
          <w:rFonts w:hint="eastAsia"/>
        </w:rPr>
        <w:t>及</w:t>
      </w:r>
      <w:r>
        <w:t>学校</w:t>
      </w:r>
      <w:r>
        <w:rPr>
          <w:rFonts w:hint="eastAsia"/>
        </w:rPr>
        <w:t>满意度</w:t>
      </w:r>
      <w:r>
        <w:t>模型分析</w:t>
      </w:r>
      <w:bookmarkEnd w:id="328"/>
      <w:bookmarkEnd w:id="329"/>
      <w:bookmarkEnd w:id="330"/>
    </w:p>
    <w:p>
      <w:pPr>
        <w:pStyle w:val="40"/>
      </w:pPr>
      <w:r>
        <w:rPr>
          <w:rFonts w:hint="eastAsia"/>
        </w:rPr>
        <w:t>用人单位对毕业生质量的总体评价是指用人单位从工作需要的角度对毕业生工作表现的总体印象，是毕业生工作质量总的反映，同时也是反映学校教学质量和学生管理质量的综合指标。</w:t>
      </w:r>
    </w:p>
    <w:p>
      <w:pPr>
        <w:pStyle w:val="40"/>
      </w:pPr>
      <w:r>
        <w:rPr>
          <w:rFonts w:hint="eastAsia"/>
        </w:rPr>
        <w:t>本文通过用人单位对毕业生能力和学校就业服务满意度评价，建立统计模型，得出结论，从而对学校的人才培养得出合理的反馈建议。</w:t>
      </w:r>
    </w:p>
    <w:p>
      <w:pPr>
        <w:pStyle w:val="30"/>
      </w:pPr>
      <w:bookmarkStart w:id="331" w:name="_Toc459803159"/>
      <w:bookmarkStart w:id="332" w:name="_Toc469038433"/>
      <w:bookmarkStart w:id="333" w:name="_Toc457897069"/>
      <w:bookmarkStart w:id="334" w:name="_Toc471310994"/>
      <w:bookmarkStart w:id="335" w:name="_Toc462142857"/>
      <w:r>
        <w:rPr>
          <w:rFonts w:hint="eastAsia"/>
        </w:rPr>
        <w:t>（一）数据的来源</w:t>
      </w:r>
      <w:bookmarkEnd w:id="331"/>
      <w:bookmarkEnd w:id="332"/>
      <w:bookmarkEnd w:id="333"/>
      <w:bookmarkEnd w:id="334"/>
      <w:bookmarkEnd w:id="335"/>
    </w:p>
    <w:p>
      <w:pPr>
        <w:pStyle w:val="40"/>
      </w:pPr>
      <w:r>
        <w:rPr>
          <w:rFonts w:hint="eastAsia"/>
        </w:rPr>
        <w:t>本次调研主要是通过调研问卷的方式完成，通过对数据的清洗，去除未答完、重复、错误</w:t>
      </w:r>
      <w:r>
        <w:t>数据</w:t>
      </w:r>
      <w:r>
        <w:rPr>
          <w:rFonts w:hint="eastAsia"/>
        </w:rPr>
        <w:t>的问卷，最终形成模型</w:t>
      </w:r>
      <w:r>
        <w:t>可使用数据</w:t>
      </w:r>
      <w:r>
        <w:rPr>
          <w:rFonts w:hint="eastAsia"/>
        </w:rPr>
        <w:t>。</w:t>
      </w:r>
    </w:p>
    <w:p>
      <w:pPr>
        <w:pStyle w:val="30"/>
      </w:pPr>
      <w:bookmarkStart w:id="336" w:name="_Toc459803160"/>
      <w:bookmarkStart w:id="337" w:name="_Toc462142858"/>
      <w:bookmarkStart w:id="338" w:name="_Toc457897070"/>
      <w:bookmarkStart w:id="339" w:name="_Toc469038434"/>
      <w:bookmarkStart w:id="340" w:name="_Toc471310995"/>
      <w:r>
        <w:rPr>
          <w:rFonts w:hint="eastAsia"/>
        </w:rPr>
        <w:t>（二）指标变量以及指标的量化</w:t>
      </w:r>
      <w:bookmarkEnd w:id="336"/>
      <w:bookmarkEnd w:id="337"/>
      <w:bookmarkEnd w:id="338"/>
      <w:bookmarkEnd w:id="339"/>
      <w:bookmarkEnd w:id="340"/>
    </w:p>
    <w:p>
      <w:pPr>
        <w:pStyle w:val="33"/>
      </w:pPr>
      <w:bookmarkStart w:id="341" w:name="_Toc469038435"/>
      <w:r>
        <w:rPr>
          <w:rFonts w:hint="eastAsia"/>
        </w:rPr>
        <w:t>1.指标变量</w:t>
      </w:r>
      <w:bookmarkEnd w:id="341"/>
    </w:p>
    <w:p>
      <w:pPr>
        <w:pStyle w:val="40"/>
      </w:pPr>
      <w:r>
        <w:rPr>
          <w:rFonts w:hint="eastAsia"/>
        </w:rPr>
        <w:t>用人单位对毕业生和学校满意度评价指标的选择取决于用人单位对毕业生及其所在院校的需求和评价两方面。通过对问卷的整理以及对以往资料的查询分析，选用如下</w:t>
      </w:r>
      <w:bookmarkStart w:id="342" w:name="_Toc457897147"/>
      <w:r>
        <w:t>18</w:t>
      </w:r>
      <w:r>
        <w:rPr>
          <w:rFonts w:hint="eastAsia"/>
        </w:rPr>
        <w:t>个指标构建模型进行分析。具体指标如表6</w:t>
      </w:r>
      <w:r>
        <w:t>-7</w:t>
      </w:r>
      <w:r>
        <w:rPr>
          <w:rFonts w:hint="eastAsia"/>
        </w:rPr>
        <w:t>所示：</w:t>
      </w:r>
    </w:p>
    <w:p>
      <w:pPr>
        <w:pStyle w:val="40"/>
      </w:pPr>
    </w:p>
    <w:p>
      <w:pPr>
        <w:pStyle w:val="8"/>
        <w:jc w:val="center"/>
        <w:rPr>
          <w:rFonts w:asciiTheme="minorEastAsia" w:hAnsiTheme="minorEastAsia" w:eastAsiaTheme="minorEastAsia"/>
          <w:sz w:val="18"/>
          <w:szCs w:val="18"/>
        </w:rPr>
      </w:pPr>
      <w:bookmarkStart w:id="343" w:name="_Toc459802849"/>
      <w:bookmarkStart w:id="344" w:name="_Toc462140561"/>
    </w:p>
    <w:p>
      <w:pPr>
        <w:pStyle w:val="8"/>
        <w:jc w:val="center"/>
        <w:rPr>
          <w:rFonts w:asciiTheme="minorEastAsia" w:hAnsiTheme="minorEastAsia" w:eastAsiaTheme="minorEastAsia"/>
          <w:sz w:val="18"/>
          <w:szCs w:val="18"/>
        </w:rPr>
      </w:pPr>
      <w:bookmarkStart w:id="345" w:name="_Toc470886958"/>
      <w:r>
        <w:rPr>
          <w:rFonts w:hint="eastAsia" w:asciiTheme="minorEastAsia" w:hAnsiTheme="minorEastAsia" w:eastAsiaTheme="minorEastAsia"/>
          <w:sz w:val="18"/>
          <w:szCs w:val="18"/>
        </w:rPr>
        <w:t>表6-</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表6-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7</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cs="宋体" w:asciiTheme="minorEastAsia" w:hAnsiTheme="minorEastAsia" w:eastAsiaTheme="minorEastAsia"/>
          <w:color w:val="000000"/>
          <w:kern w:val="0"/>
          <w:sz w:val="18"/>
          <w:szCs w:val="18"/>
        </w:rPr>
        <w:t>用人单位对毕业生和学校满意度评价指标</w:t>
      </w:r>
      <w:bookmarkEnd w:id="342"/>
      <w:bookmarkEnd w:id="343"/>
      <w:bookmarkEnd w:id="344"/>
      <w:bookmarkEnd w:id="345"/>
    </w:p>
    <w:tbl>
      <w:tblPr>
        <w:tblStyle w:val="50"/>
        <w:tblW w:w="8386" w:type="dxa"/>
        <w:tblInd w:w="0" w:type="dxa"/>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
      <w:tblGrid>
        <w:gridCol w:w="3004"/>
        <w:gridCol w:w="5382"/>
      </w:tblGrid>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67" w:hRule="atLeast"/>
        </w:trPr>
        <w:tc>
          <w:tcPr>
            <w:tcW w:w="3004" w:type="dxa"/>
            <w:tcBorders>
              <w:top w:val="single" w:color="ED7D31" w:themeColor="accent2" w:sz="4" w:space="0"/>
              <w:left w:val="single" w:color="ED7D31" w:themeColor="accent2" w:sz="4" w:space="0"/>
              <w:bottom w:val="single" w:color="ED7D31" w:themeColor="accent2" w:sz="4" w:space="0"/>
              <w:right w:val="nil"/>
              <w:insideH w:val="single" w:sz="4" w:space="0"/>
              <w:insideV w:val="nil"/>
            </w:tcBorders>
            <w:shd w:val="clear" w:color="auto" w:fill="ED7D31" w:themeFill="accent2"/>
          </w:tcPr>
          <w:p>
            <w:pPr>
              <w:jc w:val="center"/>
              <w:rPr>
                <w:rFonts w:asciiTheme="minorEastAsia" w:hAnsiTheme="minorEastAsia"/>
                <w:b/>
                <w:bCs/>
                <w:color w:val="FFFFFF" w:themeColor="background1"/>
                <w:sz w:val="18"/>
                <w:szCs w:val="18"/>
                <w14:textFill>
                  <w14:solidFill>
                    <w14:schemeClr w14:val="bg1"/>
                  </w14:solidFill>
                </w14:textFill>
              </w:rPr>
            </w:pPr>
            <w:bookmarkStart w:id="346" w:name="_Toc457897072"/>
            <w:r>
              <w:rPr>
                <w:rFonts w:hint="eastAsia" w:asciiTheme="minorEastAsia" w:hAnsiTheme="minorEastAsia"/>
                <w:b/>
                <w:bCs/>
                <w:color w:val="FFFFFF" w:themeColor="background1"/>
                <w:sz w:val="18"/>
                <w:szCs w:val="18"/>
                <w14:textFill>
                  <w14:solidFill>
                    <w14:schemeClr w14:val="bg1"/>
                  </w14:solidFill>
                </w14:textFill>
              </w:rPr>
              <w:t>指标符号</w:t>
            </w:r>
          </w:p>
        </w:tc>
        <w:tc>
          <w:tcPr>
            <w:tcW w:w="5382" w:type="dxa"/>
            <w:tcBorders>
              <w:top w:val="single" w:color="ED7D31" w:themeColor="accent2" w:sz="4" w:space="0"/>
              <w:bottom w:val="single" w:color="ED7D31" w:themeColor="accent2" w:sz="4" w:space="0"/>
              <w:right w:val="single" w:color="ED7D31" w:themeColor="accent2" w:sz="4" w:space="0"/>
              <w:insideH w:val="single" w:sz="4" w:space="0"/>
              <w:insideV w:val="nil"/>
            </w:tcBorders>
            <w:shd w:val="clear" w:color="auto" w:fill="ED7D31" w:themeFill="accent2"/>
          </w:tcPr>
          <w:p>
            <w:pPr>
              <w:jc w:val="center"/>
              <w:rPr>
                <w:rFonts w:asciiTheme="minorEastAsia" w:hAnsiTheme="minorEastAsia"/>
                <w:b/>
                <w:bCs/>
                <w:color w:val="FFFFFF" w:themeColor="background1"/>
                <w:sz w:val="18"/>
                <w:szCs w:val="18"/>
                <w14:textFill>
                  <w14:solidFill>
                    <w14:schemeClr w14:val="bg1"/>
                  </w14:solidFill>
                </w14:textFill>
              </w:rPr>
            </w:pPr>
            <w:r>
              <w:rPr>
                <w:rFonts w:hint="eastAsia" w:asciiTheme="minorEastAsia" w:hAnsiTheme="minorEastAsia"/>
                <w:b/>
                <w:bCs/>
                <w:color w:val="FFFFFF" w:themeColor="background1"/>
                <w:sz w:val="18"/>
                <w:szCs w:val="18"/>
                <w14:textFill>
                  <w14:solidFill>
                    <w14:schemeClr w14:val="bg1"/>
                  </w14:solidFill>
                </w14:textFill>
              </w:rPr>
              <w:t>指标变量</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67" w:hRule="atLeast"/>
        </w:trPr>
        <w:tc>
          <w:tcPr>
            <w:tcW w:w="3004" w:type="dxa"/>
            <w:shd w:val="clear" w:color="auto" w:fill="FBE4D5" w:themeFill="accent2" w:themeFillTint="33"/>
          </w:tcPr>
          <w:p>
            <w:pPr>
              <w:jc w:val="center"/>
              <w:rPr>
                <w:rFonts w:asciiTheme="minorEastAsia" w:hAnsiTheme="minorEastAsia"/>
                <w:b/>
                <w:bCs/>
                <w:sz w:val="18"/>
                <w:szCs w:val="18"/>
              </w:rPr>
            </w:pPr>
            <w:r>
              <w:rPr>
                <w:rFonts w:hint="eastAsia" w:asciiTheme="minorEastAsia" w:hAnsiTheme="minorEastAsia"/>
                <w:b/>
                <w:bCs/>
                <w:sz w:val="18"/>
                <w:szCs w:val="18"/>
              </w:rPr>
              <w:t>X1</w:t>
            </w:r>
          </w:p>
        </w:tc>
        <w:tc>
          <w:tcPr>
            <w:tcW w:w="5382" w:type="dxa"/>
            <w:shd w:val="clear" w:color="auto" w:fill="FBE4D5" w:themeFill="accent2" w:themeFillTint="33"/>
          </w:tcPr>
          <w:p>
            <w:pPr>
              <w:jc w:val="center"/>
              <w:rPr>
                <w:rFonts w:asciiTheme="minorEastAsia" w:hAnsiTheme="minorEastAsia"/>
                <w:sz w:val="18"/>
                <w:szCs w:val="18"/>
              </w:rPr>
            </w:pPr>
            <w:r>
              <w:rPr>
                <w:rFonts w:hint="eastAsia" w:asciiTheme="minorEastAsia" w:hAnsiTheme="minorEastAsia"/>
                <w:sz w:val="18"/>
                <w:szCs w:val="18"/>
              </w:rPr>
              <w:t>适应能力</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67" w:hRule="atLeast"/>
        </w:trPr>
        <w:tc>
          <w:tcPr>
            <w:tcW w:w="3004" w:type="dxa"/>
          </w:tcPr>
          <w:p>
            <w:pPr>
              <w:jc w:val="center"/>
              <w:rPr>
                <w:rFonts w:asciiTheme="minorEastAsia" w:hAnsiTheme="minorEastAsia"/>
                <w:b/>
                <w:bCs/>
                <w:sz w:val="18"/>
                <w:szCs w:val="18"/>
              </w:rPr>
            </w:pPr>
            <w:r>
              <w:rPr>
                <w:rFonts w:hint="eastAsia" w:asciiTheme="minorEastAsia" w:hAnsiTheme="minorEastAsia"/>
                <w:b/>
                <w:bCs/>
                <w:sz w:val="18"/>
                <w:szCs w:val="18"/>
              </w:rPr>
              <w:t>X2</w:t>
            </w:r>
          </w:p>
        </w:tc>
        <w:tc>
          <w:tcPr>
            <w:tcW w:w="5382" w:type="dxa"/>
          </w:tcPr>
          <w:p>
            <w:pPr>
              <w:jc w:val="center"/>
              <w:rPr>
                <w:rFonts w:asciiTheme="minorEastAsia" w:hAnsiTheme="minorEastAsia"/>
                <w:sz w:val="18"/>
                <w:szCs w:val="18"/>
              </w:rPr>
            </w:pPr>
            <w:r>
              <w:rPr>
                <w:rFonts w:hint="eastAsia" w:asciiTheme="minorEastAsia" w:hAnsiTheme="minorEastAsia"/>
                <w:sz w:val="18"/>
                <w:szCs w:val="18"/>
              </w:rPr>
              <w:t>创新能力</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445" w:hRule="atLeast"/>
        </w:trPr>
        <w:tc>
          <w:tcPr>
            <w:tcW w:w="3004" w:type="dxa"/>
            <w:shd w:val="clear" w:color="auto" w:fill="FBE4D5" w:themeFill="accent2" w:themeFillTint="33"/>
          </w:tcPr>
          <w:p>
            <w:pPr>
              <w:jc w:val="center"/>
              <w:rPr>
                <w:rFonts w:asciiTheme="minorEastAsia" w:hAnsiTheme="minorEastAsia"/>
                <w:b/>
                <w:bCs/>
                <w:sz w:val="18"/>
                <w:szCs w:val="18"/>
              </w:rPr>
            </w:pPr>
            <w:r>
              <w:rPr>
                <w:rFonts w:hint="eastAsia" w:asciiTheme="minorEastAsia" w:hAnsiTheme="minorEastAsia"/>
                <w:b/>
                <w:bCs/>
                <w:sz w:val="18"/>
                <w:szCs w:val="18"/>
              </w:rPr>
              <w:t>X3</w:t>
            </w:r>
          </w:p>
        </w:tc>
        <w:tc>
          <w:tcPr>
            <w:tcW w:w="5382" w:type="dxa"/>
            <w:shd w:val="clear" w:color="auto" w:fill="FBE4D5" w:themeFill="accent2" w:themeFillTint="33"/>
          </w:tcPr>
          <w:p>
            <w:pPr>
              <w:jc w:val="center"/>
              <w:rPr>
                <w:rFonts w:asciiTheme="minorEastAsia" w:hAnsiTheme="minorEastAsia"/>
                <w:sz w:val="18"/>
                <w:szCs w:val="18"/>
              </w:rPr>
            </w:pPr>
            <w:r>
              <w:rPr>
                <w:rFonts w:hint="eastAsia" w:asciiTheme="minorEastAsia" w:hAnsiTheme="minorEastAsia"/>
                <w:sz w:val="18"/>
                <w:szCs w:val="18"/>
              </w:rPr>
              <w:t>敬业精神与职业道德</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333" w:hRule="atLeast"/>
        </w:trPr>
        <w:tc>
          <w:tcPr>
            <w:tcW w:w="3004" w:type="dxa"/>
          </w:tcPr>
          <w:p>
            <w:pPr>
              <w:jc w:val="center"/>
              <w:rPr>
                <w:rFonts w:asciiTheme="minorEastAsia" w:hAnsiTheme="minorEastAsia"/>
                <w:b/>
                <w:bCs/>
                <w:sz w:val="18"/>
                <w:szCs w:val="18"/>
              </w:rPr>
            </w:pPr>
            <w:r>
              <w:rPr>
                <w:rFonts w:hint="eastAsia" w:asciiTheme="minorEastAsia" w:hAnsiTheme="minorEastAsia"/>
                <w:b/>
                <w:bCs/>
                <w:sz w:val="18"/>
                <w:szCs w:val="18"/>
              </w:rPr>
              <w:t>X4</w:t>
            </w:r>
          </w:p>
        </w:tc>
        <w:tc>
          <w:tcPr>
            <w:tcW w:w="5382" w:type="dxa"/>
          </w:tcPr>
          <w:p>
            <w:pPr>
              <w:jc w:val="center"/>
              <w:rPr>
                <w:rFonts w:asciiTheme="minorEastAsia" w:hAnsiTheme="minorEastAsia"/>
                <w:sz w:val="18"/>
                <w:szCs w:val="18"/>
              </w:rPr>
            </w:pPr>
            <w:r>
              <w:rPr>
                <w:rFonts w:hint="eastAsia" w:asciiTheme="minorEastAsia" w:hAnsiTheme="minorEastAsia"/>
                <w:sz w:val="18"/>
                <w:szCs w:val="18"/>
              </w:rPr>
              <w:t>专业知识与技能</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80" w:hRule="atLeast"/>
        </w:trPr>
        <w:tc>
          <w:tcPr>
            <w:tcW w:w="3004" w:type="dxa"/>
            <w:shd w:val="clear" w:color="auto" w:fill="FBE4D5" w:themeFill="accent2" w:themeFillTint="33"/>
          </w:tcPr>
          <w:p>
            <w:pPr>
              <w:jc w:val="center"/>
              <w:rPr>
                <w:rFonts w:asciiTheme="minorEastAsia" w:hAnsiTheme="minorEastAsia"/>
                <w:b/>
                <w:bCs/>
                <w:sz w:val="18"/>
                <w:szCs w:val="18"/>
              </w:rPr>
            </w:pPr>
            <w:r>
              <w:rPr>
                <w:rFonts w:hint="eastAsia" w:asciiTheme="minorEastAsia" w:hAnsiTheme="minorEastAsia"/>
                <w:b/>
                <w:bCs/>
                <w:sz w:val="18"/>
                <w:szCs w:val="18"/>
              </w:rPr>
              <w:t>X5</w:t>
            </w:r>
          </w:p>
        </w:tc>
        <w:tc>
          <w:tcPr>
            <w:tcW w:w="5382" w:type="dxa"/>
            <w:shd w:val="clear" w:color="auto" w:fill="FBE4D5" w:themeFill="accent2" w:themeFillTint="33"/>
          </w:tcPr>
          <w:p>
            <w:pPr>
              <w:jc w:val="center"/>
              <w:rPr>
                <w:rFonts w:asciiTheme="minorEastAsia" w:hAnsiTheme="minorEastAsia"/>
                <w:sz w:val="18"/>
                <w:szCs w:val="18"/>
              </w:rPr>
            </w:pPr>
            <w:r>
              <w:rPr>
                <w:rFonts w:hint="eastAsia" w:asciiTheme="minorEastAsia" w:hAnsiTheme="minorEastAsia"/>
                <w:sz w:val="18"/>
                <w:szCs w:val="18"/>
              </w:rPr>
              <w:t>吃苦耐劳精神</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45" w:hRule="atLeast"/>
        </w:trPr>
        <w:tc>
          <w:tcPr>
            <w:tcW w:w="3004" w:type="dxa"/>
          </w:tcPr>
          <w:p>
            <w:pPr>
              <w:jc w:val="center"/>
              <w:rPr>
                <w:rFonts w:asciiTheme="minorEastAsia" w:hAnsiTheme="minorEastAsia"/>
                <w:b/>
                <w:bCs/>
                <w:sz w:val="18"/>
                <w:szCs w:val="18"/>
              </w:rPr>
            </w:pPr>
            <w:r>
              <w:rPr>
                <w:rFonts w:hint="eastAsia" w:asciiTheme="minorEastAsia" w:hAnsiTheme="minorEastAsia"/>
                <w:b/>
                <w:bCs/>
                <w:sz w:val="18"/>
                <w:szCs w:val="18"/>
              </w:rPr>
              <w:t>X6</w:t>
            </w:r>
          </w:p>
        </w:tc>
        <w:tc>
          <w:tcPr>
            <w:tcW w:w="5382" w:type="dxa"/>
          </w:tcPr>
          <w:p>
            <w:pPr>
              <w:jc w:val="center"/>
              <w:rPr>
                <w:rFonts w:asciiTheme="minorEastAsia" w:hAnsiTheme="minorEastAsia"/>
                <w:sz w:val="18"/>
                <w:szCs w:val="18"/>
              </w:rPr>
            </w:pPr>
            <w:r>
              <w:rPr>
                <w:rFonts w:hint="eastAsia" w:asciiTheme="minorEastAsia" w:hAnsiTheme="minorEastAsia"/>
                <w:sz w:val="18"/>
                <w:szCs w:val="18"/>
              </w:rPr>
              <w:t>团队合作精神</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363" w:hRule="atLeast"/>
        </w:trPr>
        <w:tc>
          <w:tcPr>
            <w:tcW w:w="3004" w:type="dxa"/>
            <w:shd w:val="clear" w:color="auto" w:fill="FBE4D5" w:themeFill="accent2" w:themeFillTint="33"/>
          </w:tcPr>
          <w:p>
            <w:pPr>
              <w:jc w:val="center"/>
              <w:rPr>
                <w:rFonts w:asciiTheme="minorEastAsia" w:hAnsiTheme="minorEastAsia"/>
                <w:b/>
                <w:bCs/>
                <w:sz w:val="18"/>
                <w:szCs w:val="18"/>
              </w:rPr>
            </w:pPr>
            <w:r>
              <w:rPr>
                <w:rFonts w:hint="eastAsia" w:asciiTheme="minorEastAsia" w:hAnsiTheme="minorEastAsia"/>
                <w:b/>
                <w:bCs/>
                <w:sz w:val="18"/>
                <w:szCs w:val="18"/>
              </w:rPr>
              <w:t>X7</w:t>
            </w:r>
          </w:p>
        </w:tc>
        <w:tc>
          <w:tcPr>
            <w:tcW w:w="5382" w:type="dxa"/>
            <w:shd w:val="clear" w:color="auto" w:fill="FBE4D5" w:themeFill="accent2" w:themeFillTint="33"/>
          </w:tcPr>
          <w:p>
            <w:pPr>
              <w:jc w:val="center"/>
              <w:rPr>
                <w:rFonts w:asciiTheme="minorEastAsia" w:hAnsiTheme="minorEastAsia"/>
                <w:sz w:val="18"/>
                <w:szCs w:val="18"/>
              </w:rPr>
            </w:pPr>
            <w:r>
              <w:rPr>
                <w:rFonts w:hint="eastAsia" w:asciiTheme="minorEastAsia" w:hAnsiTheme="minorEastAsia"/>
                <w:sz w:val="18"/>
                <w:szCs w:val="18"/>
              </w:rPr>
              <w:t>组织协调能力</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68" w:hRule="atLeast"/>
        </w:trPr>
        <w:tc>
          <w:tcPr>
            <w:tcW w:w="3004" w:type="dxa"/>
          </w:tcPr>
          <w:p>
            <w:pPr>
              <w:jc w:val="center"/>
              <w:rPr>
                <w:rFonts w:asciiTheme="minorEastAsia" w:hAnsiTheme="minorEastAsia"/>
                <w:b/>
                <w:bCs/>
                <w:sz w:val="18"/>
                <w:szCs w:val="18"/>
              </w:rPr>
            </w:pPr>
            <w:r>
              <w:rPr>
                <w:rFonts w:hint="eastAsia" w:asciiTheme="minorEastAsia" w:hAnsiTheme="minorEastAsia"/>
                <w:b/>
                <w:bCs/>
                <w:sz w:val="18"/>
                <w:szCs w:val="18"/>
              </w:rPr>
              <w:t>X8</w:t>
            </w:r>
          </w:p>
        </w:tc>
        <w:tc>
          <w:tcPr>
            <w:tcW w:w="5382" w:type="dxa"/>
          </w:tcPr>
          <w:p>
            <w:pPr>
              <w:jc w:val="center"/>
              <w:rPr>
                <w:rFonts w:asciiTheme="minorEastAsia" w:hAnsiTheme="minorEastAsia"/>
                <w:sz w:val="18"/>
                <w:szCs w:val="18"/>
              </w:rPr>
            </w:pPr>
            <w:r>
              <w:rPr>
                <w:rFonts w:hint="eastAsia" w:asciiTheme="minorEastAsia" w:hAnsiTheme="minorEastAsia"/>
                <w:sz w:val="18"/>
                <w:szCs w:val="18"/>
              </w:rPr>
              <w:t>自主学习能力</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5" w:hRule="atLeast"/>
        </w:trPr>
        <w:tc>
          <w:tcPr>
            <w:tcW w:w="3004" w:type="dxa"/>
            <w:shd w:val="clear" w:color="auto" w:fill="FBE4D5" w:themeFill="accent2" w:themeFillTint="33"/>
          </w:tcPr>
          <w:p>
            <w:pPr>
              <w:jc w:val="center"/>
              <w:rPr>
                <w:rFonts w:asciiTheme="minorEastAsia" w:hAnsiTheme="minorEastAsia"/>
                <w:b/>
                <w:bCs/>
                <w:sz w:val="18"/>
                <w:szCs w:val="18"/>
              </w:rPr>
            </w:pPr>
            <w:r>
              <w:rPr>
                <w:rFonts w:hint="eastAsia" w:asciiTheme="minorEastAsia" w:hAnsiTheme="minorEastAsia"/>
                <w:b/>
                <w:bCs/>
                <w:sz w:val="18"/>
                <w:szCs w:val="18"/>
              </w:rPr>
              <w:t>X9</w:t>
            </w:r>
          </w:p>
        </w:tc>
        <w:tc>
          <w:tcPr>
            <w:tcW w:w="5382" w:type="dxa"/>
            <w:shd w:val="clear" w:color="auto" w:fill="FBE4D5" w:themeFill="accent2" w:themeFillTint="33"/>
          </w:tcPr>
          <w:p>
            <w:pPr>
              <w:jc w:val="center"/>
              <w:rPr>
                <w:rFonts w:asciiTheme="minorEastAsia" w:hAnsiTheme="minorEastAsia"/>
                <w:sz w:val="18"/>
                <w:szCs w:val="18"/>
              </w:rPr>
            </w:pPr>
            <w:r>
              <w:rPr>
                <w:rFonts w:hint="eastAsia" w:asciiTheme="minorEastAsia" w:hAnsiTheme="minorEastAsia"/>
                <w:sz w:val="18"/>
                <w:szCs w:val="18"/>
              </w:rPr>
              <w:t>抗压抗挫能力</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23" w:hRule="atLeast"/>
        </w:trPr>
        <w:tc>
          <w:tcPr>
            <w:tcW w:w="3004" w:type="dxa"/>
          </w:tcPr>
          <w:p>
            <w:pPr>
              <w:jc w:val="center"/>
              <w:rPr>
                <w:rFonts w:asciiTheme="minorEastAsia" w:hAnsiTheme="minorEastAsia"/>
                <w:b/>
                <w:bCs/>
                <w:sz w:val="18"/>
                <w:szCs w:val="18"/>
              </w:rPr>
            </w:pPr>
            <w:r>
              <w:rPr>
                <w:rFonts w:hint="eastAsia" w:asciiTheme="minorEastAsia" w:hAnsiTheme="minorEastAsia"/>
                <w:b/>
                <w:bCs/>
                <w:sz w:val="18"/>
                <w:szCs w:val="18"/>
              </w:rPr>
              <w:t>X10</w:t>
            </w:r>
          </w:p>
        </w:tc>
        <w:tc>
          <w:tcPr>
            <w:tcW w:w="5382" w:type="dxa"/>
          </w:tcPr>
          <w:p>
            <w:pPr>
              <w:jc w:val="center"/>
              <w:rPr>
                <w:rFonts w:asciiTheme="minorEastAsia" w:hAnsiTheme="minorEastAsia"/>
                <w:sz w:val="18"/>
                <w:szCs w:val="18"/>
              </w:rPr>
            </w:pPr>
            <w:r>
              <w:rPr>
                <w:rFonts w:hint="eastAsia" w:asciiTheme="minorEastAsia" w:hAnsiTheme="minorEastAsia"/>
                <w:sz w:val="18"/>
                <w:szCs w:val="18"/>
              </w:rPr>
              <w:t>灵活应变能力</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341" w:hRule="atLeast"/>
        </w:trPr>
        <w:tc>
          <w:tcPr>
            <w:tcW w:w="3004" w:type="dxa"/>
            <w:shd w:val="clear" w:color="auto" w:fill="FBE4D5" w:themeFill="accent2" w:themeFillTint="33"/>
          </w:tcPr>
          <w:p>
            <w:pPr>
              <w:jc w:val="center"/>
              <w:rPr>
                <w:rFonts w:asciiTheme="minorEastAsia" w:hAnsiTheme="minorEastAsia"/>
                <w:b/>
                <w:bCs/>
                <w:sz w:val="18"/>
                <w:szCs w:val="18"/>
              </w:rPr>
            </w:pPr>
            <w:r>
              <w:rPr>
                <w:rFonts w:hint="eastAsia" w:asciiTheme="minorEastAsia" w:hAnsiTheme="minorEastAsia"/>
                <w:b/>
                <w:bCs/>
                <w:sz w:val="18"/>
                <w:szCs w:val="18"/>
              </w:rPr>
              <w:t>X11</w:t>
            </w:r>
          </w:p>
        </w:tc>
        <w:tc>
          <w:tcPr>
            <w:tcW w:w="5382" w:type="dxa"/>
            <w:shd w:val="clear" w:color="auto" w:fill="FBE4D5" w:themeFill="accent2" w:themeFillTint="33"/>
          </w:tcPr>
          <w:p>
            <w:pPr>
              <w:jc w:val="center"/>
              <w:rPr>
                <w:rFonts w:asciiTheme="minorEastAsia" w:hAnsiTheme="minorEastAsia"/>
                <w:sz w:val="18"/>
                <w:szCs w:val="18"/>
              </w:rPr>
            </w:pPr>
            <w:r>
              <w:rPr>
                <w:rFonts w:hint="eastAsia" w:asciiTheme="minorEastAsia" w:hAnsiTheme="minorEastAsia"/>
                <w:sz w:val="18"/>
                <w:szCs w:val="18"/>
              </w:rPr>
              <w:t>语言表达能力</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67" w:hRule="atLeast"/>
        </w:trPr>
        <w:tc>
          <w:tcPr>
            <w:tcW w:w="3004" w:type="dxa"/>
          </w:tcPr>
          <w:p>
            <w:pPr>
              <w:jc w:val="center"/>
              <w:rPr>
                <w:rFonts w:asciiTheme="minorEastAsia" w:hAnsiTheme="minorEastAsia"/>
                <w:b/>
                <w:bCs/>
                <w:sz w:val="18"/>
                <w:szCs w:val="18"/>
              </w:rPr>
            </w:pPr>
            <w:r>
              <w:rPr>
                <w:rFonts w:hint="eastAsia" w:asciiTheme="minorEastAsia" w:hAnsiTheme="minorEastAsia"/>
                <w:b/>
                <w:bCs/>
                <w:sz w:val="18"/>
                <w:szCs w:val="18"/>
              </w:rPr>
              <w:t>X12</w:t>
            </w:r>
          </w:p>
        </w:tc>
        <w:tc>
          <w:tcPr>
            <w:tcW w:w="5382" w:type="dxa"/>
          </w:tcPr>
          <w:p>
            <w:pPr>
              <w:jc w:val="center"/>
              <w:rPr>
                <w:rFonts w:asciiTheme="minorEastAsia" w:hAnsiTheme="minorEastAsia"/>
                <w:sz w:val="18"/>
                <w:szCs w:val="18"/>
              </w:rPr>
            </w:pPr>
            <w:r>
              <w:rPr>
                <w:rFonts w:hint="eastAsia" w:asciiTheme="minorEastAsia" w:hAnsiTheme="minorEastAsia"/>
                <w:sz w:val="18"/>
                <w:szCs w:val="18"/>
              </w:rPr>
              <w:t>执行力</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67" w:hRule="atLeast"/>
        </w:trPr>
        <w:tc>
          <w:tcPr>
            <w:tcW w:w="3004" w:type="dxa"/>
            <w:shd w:val="clear" w:color="auto" w:fill="FBE4D5" w:themeFill="accent2" w:themeFillTint="33"/>
          </w:tcPr>
          <w:p>
            <w:pPr>
              <w:jc w:val="center"/>
              <w:rPr>
                <w:rFonts w:asciiTheme="minorEastAsia" w:hAnsiTheme="minorEastAsia"/>
                <w:b/>
                <w:bCs/>
                <w:sz w:val="18"/>
                <w:szCs w:val="18"/>
              </w:rPr>
            </w:pPr>
            <w:r>
              <w:rPr>
                <w:rFonts w:hint="eastAsia" w:asciiTheme="minorEastAsia" w:hAnsiTheme="minorEastAsia"/>
                <w:b/>
                <w:bCs/>
                <w:sz w:val="18"/>
                <w:szCs w:val="18"/>
              </w:rPr>
              <w:t>X13</w:t>
            </w:r>
          </w:p>
        </w:tc>
        <w:tc>
          <w:tcPr>
            <w:tcW w:w="5382" w:type="dxa"/>
            <w:shd w:val="clear" w:color="auto" w:fill="FBE4D5" w:themeFill="accent2" w:themeFillTint="33"/>
          </w:tcPr>
          <w:p>
            <w:pPr>
              <w:jc w:val="center"/>
              <w:rPr>
                <w:rFonts w:asciiTheme="minorEastAsia" w:hAnsiTheme="minorEastAsia"/>
                <w:sz w:val="18"/>
                <w:szCs w:val="18"/>
              </w:rPr>
            </w:pPr>
            <w:r>
              <w:rPr>
                <w:rFonts w:hint="eastAsia" w:asciiTheme="minorEastAsia" w:hAnsiTheme="minorEastAsia"/>
                <w:sz w:val="18"/>
                <w:szCs w:val="18"/>
              </w:rPr>
              <w:t>人才培养</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67" w:hRule="atLeast"/>
        </w:trPr>
        <w:tc>
          <w:tcPr>
            <w:tcW w:w="3004" w:type="dxa"/>
          </w:tcPr>
          <w:p>
            <w:pPr>
              <w:jc w:val="center"/>
              <w:rPr>
                <w:rFonts w:asciiTheme="minorEastAsia" w:hAnsiTheme="minorEastAsia"/>
                <w:b/>
                <w:bCs/>
                <w:sz w:val="18"/>
                <w:szCs w:val="18"/>
              </w:rPr>
            </w:pPr>
            <w:r>
              <w:rPr>
                <w:rFonts w:hint="eastAsia" w:asciiTheme="minorEastAsia" w:hAnsiTheme="minorEastAsia"/>
                <w:b/>
                <w:bCs/>
                <w:sz w:val="18"/>
                <w:szCs w:val="18"/>
              </w:rPr>
              <w:t>X14</w:t>
            </w:r>
          </w:p>
        </w:tc>
        <w:tc>
          <w:tcPr>
            <w:tcW w:w="5382" w:type="dxa"/>
          </w:tcPr>
          <w:p>
            <w:pPr>
              <w:jc w:val="center"/>
              <w:rPr>
                <w:rFonts w:asciiTheme="minorEastAsia" w:hAnsiTheme="minorEastAsia"/>
                <w:sz w:val="18"/>
                <w:szCs w:val="18"/>
              </w:rPr>
            </w:pPr>
            <w:r>
              <w:rPr>
                <w:rFonts w:hint="eastAsia" w:asciiTheme="minorEastAsia" w:hAnsiTheme="minorEastAsia"/>
                <w:sz w:val="18"/>
                <w:szCs w:val="18"/>
              </w:rPr>
              <w:t>就业信息</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89" w:hRule="atLeast"/>
        </w:trPr>
        <w:tc>
          <w:tcPr>
            <w:tcW w:w="3004" w:type="dxa"/>
            <w:shd w:val="clear" w:color="auto" w:fill="FBE4D5" w:themeFill="accent2" w:themeFillTint="33"/>
          </w:tcPr>
          <w:p>
            <w:pPr>
              <w:jc w:val="center"/>
              <w:rPr>
                <w:rFonts w:asciiTheme="minorEastAsia" w:hAnsiTheme="minorEastAsia"/>
                <w:b/>
                <w:bCs/>
                <w:sz w:val="18"/>
                <w:szCs w:val="18"/>
              </w:rPr>
            </w:pPr>
            <w:r>
              <w:rPr>
                <w:rFonts w:hint="eastAsia" w:asciiTheme="minorEastAsia" w:hAnsiTheme="minorEastAsia"/>
                <w:b/>
                <w:bCs/>
                <w:sz w:val="18"/>
                <w:szCs w:val="18"/>
              </w:rPr>
              <w:t>X15</w:t>
            </w:r>
          </w:p>
        </w:tc>
        <w:tc>
          <w:tcPr>
            <w:tcW w:w="5382" w:type="dxa"/>
            <w:shd w:val="clear" w:color="auto" w:fill="FBE4D5" w:themeFill="accent2" w:themeFillTint="33"/>
          </w:tcPr>
          <w:p>
            <w:pPr>
              <w:jc w:val="center"/>
              <w:rPr>
                <w:rFonts w:asciiTheme="minorEastAsia" w:hAnsiTheme="minorEastAsia"/>
                <w:sz w:val="18"/>
                <w:szCs w:val="18"/>
              </w:rPr>
            </w:pPr>
            <w:r>
              <w:rPr>
                <w:rFonts w:hint="eastAsia" w:asciiTheme="minorEastAsia" w:hAnsiTheme="minorEastAsia"/>
                <w:sz w:val="18"/>
                <w:szCs w:val="18"/>
              </w:rPr>
              <w:t>档案管理及传递</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67" w:hRule="atLeast"/>
        </w:trPr>
        <w:tc>
          <w:tcPr>
            <w:tcW w:w="3004" w:type="dxa"/>
          </w:tcPr>
          <w:p>
            <w:pPr>
              <w:jc w:val="center"/>
              <w:rPr>
                <w:rFonts w:asciiTheme="minorEastAsia" w:hAnsiTheme="minorEastAsia"/>
                <w:b/>
                <w:bCs/>
                <w:sz w:val="18"/>
                <w:szCs w:val="18"/>
              </w:rPr>
            </w:pPr>
            <w:r>
              <w:rPr>
                <w:rFonts w:hint="eastAsia" w:asciiTheme="minorEastAsia" w:hAnsiTheme="minorEastAsia"/>
                <w:b/>
                <w:bCs/>
                <w:sz w:val="18"/>
                <w:szCs w:val="18"/>
              </w:rPr>
              <w:t>X16</w:t>
            </w:r>
          </w:p>
        </w:tc>
        <w:tc>
          <w:tcPr>
            <w:tcW w:w="5382" w:type="dxa"/>
          </w:tcPr>
          <w:p>
            <w:pPr>
              <w:jc w:val="center"/>
              <w:rPr>
                <w:rFonts w:asciiTheme="minorEastAsia" w:hAnsiTheme="minorEastAsia"/>
                <w:sz w:val="18"/>
                <w:szCs w:val="18"/>
              </w:rPr>
            </w:pPr>
            <w:r>
              <w:rPr>
                <w:rFonts w:hint="eastAsia" w:asciiTheme="minorEastAsia" w:hAnsiTheme="minorEastAsia"/>
                <w:sz w:val="18"/>
                <w:szCs w:val="18"/>
              </w:rPr>
              <w:t>招聘场地</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67" w:hRule="atLeast"/>
        </w:trPr>
        <w:tc>
          <w:tcPr>
            <w:tcW w:w="3004" w:type="dxa"/>
            <w:shd w:val="clear" w:color="auto" w:fill="FBE4D5" w:themeFill="accent2" w:themeFillTint="33"/>
          </w:tcPr>
          <w:p>
            <w:pPr>
              <w:jc w:val="center"/>
              <w:rPr>
                <w:rFonts w:asciiTheme="minorEastAsia" w:hAnsiTheme="minorEastAsia"/>
                <w:b/>
                <w:bCs/>
                <w:sz w:val="18"/>
                <w:szCs w:val="18"/>
              </w:rPr>
            </w:pPr>
            <w:r>
              <w:rPr>
                <w:rFonts w:hint="eastAsia" w:asciiTheme="minorEastAsia" w:hAnsiTheme="minorEastAsia"/>
                <w:b/>
                <w:bCs/>
                <w:sz w:val="18"/>
                <w:szCs w:val="18"/>
              </w:rPr>
              <w:t>X17</w:t>
            </w:r>
          </w:p>
        </w:tc>
        <w:tc>
          <w:tcPr>
            <w:tcW w:w="5382" w:type="dxa"/>
            <w:shd w:val="clear" w:color="auto" w:fill="FBE4D5" w:themeFill="accent2" w:themeFillTint="33"/>
          </w:tcPr>
          <w:p>
            <w:pPr>
              <w:jc w:val="center"/>
              <w:rPr>
                <w:rFonts w:asciiTheme="minorEastAsia" w:hAnsiTheme="minorEastAsia"/>
                <w:sz w:val="18"/>
                <w:szCs w:val="18"/>
              </w:rPr>
            </w:pPr>
            <w:r>
              <w:rPr>
                <w:rFonts w:hint="eastAsia" w:asciiTheme="minorEastAsia" w:hAnsiTheme="minorEastAsia"/>
                <w:sz w:val="18"/>
                <w:szCs w:val="18"/>
              </w:rPr>
              <w:t>参会情况</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67" w:hRule="atLeast"/>
        </w:trPr>
        <w:tc>
          <w:tcPr>
            <w:tcW w:w="3004" w:type="dxa"/>
          </w:tcPr>
          <w:p>
            <w:pPr>
              <w:jc w:val="center"/>
              <w:rPr>
                <w:rFonts w:asciiTheme="minorEastAsia" w:hAnsiTheme="minorEastAsia"/>
                <w:b/>
                <w:bCs/>
                <w:sz w:val="18"/>
                <w:szCs w:val="18"/>
              </w:rPr>
            </w:pPr>
            <w:r>
              <w:rPr>
                <w:rFonts w:hint="eastAsia" w:asciiTheme="minorEastAsia" w:hAnsiTheme="minorEastAsia"/>
                <w:b/>
                <w:bCs/>
                <w:sz w:val="18"/>
                <w:szCs w:val="18"/>
              </w:rPr>
              <w:t>X18</w:t>
            </w:r>
          </w:p>
        </w:tc>
        <w:tc>
          <w:tcPr>
            <w:tcW w:w="5382" w:type="dxa"/>
          </w:tcPr>
          <w:p>
            <w:pPr>
              <w:jc w:val="center"/>
              <w:rPr>
                <w:rFonts w:asciiTheme="minorEastAsia" w:hAnsiTheme="minorEastAsia"/>
                <w:sz w:val="18"/>
                <w:szCs w:val="18"/>
              </w:rPr>
            </w:pPr>
            <w:r>
              <w:rPr>
                <w:rFonts w:hint="eastAsia" w:asciiTheme="minorEastAsia" w:hAnsiTheme="minorEastAsia"/>
                <w:sz w:val="18"/>
                <w:szCs w:val="18"/>
              </w:rPr>
              <w:t>个性化服务</w:t>
            </w:r>
          </w:p>
        </w:tc>
      </w:tr>
      <w:bookmarkEnd w:id="346"/>
    </w:tbl>
    <w:p>
      <w:bookmarkStart w:id="347" w:name="_Toc459803161"/>
      <w:bookmarkStart w:id="348" w:name="_Toc457897073"/>
      <w:bookmarkStart w:id="349" w:name="_Toc462142859"/>
    </w:p>
    <w:p>
      <w:pPr>
        <w:pStyle w:val="30"/>
      </w:pPr>
      <w:bookmarkStart w:id="350" w:name="_Toc469038436"/>
      <w:bookmarkStart w:id="351" w:name="_Toc471310996"/>
      <w:r>
        <w:rPr>
          <w:rFonts w:hint="eastAsia"/>
        </w:rPr>
        <w:t>（三）模型假设</w:t>
      </w:r>
      <w:bookmarkEnd w:id="347"/>
      <w:bookmarkEnd w:id="348"/>
      <w:bookmarkEnd w:id="349"/>
      <w:bookmarkEnd w:id="350"/>
      <w:bookmarkEnd w:id="351"/>
    </w:p>
    <w:p>
      <w:pPr>
        <w:pStyle w:val="40"/>
      </w:pPr>
      <w:r>
        <w:rPr>
          <w:rFonts w:hint="eastAsia"/>
        </w:rPr>
        <w:t>A.假设调研所得的样本数据可以代表全体用人单位。</w:t>
      </w:r>
    </w:p>
    <w:p>
      <w:pPr>
        <w:pStyle w:val="40"/>
      </w:pPr>
      <w:r>
        <w:rPr>
          <w:rFonts w:hint="eastAsia"/>
        </w:rPr>
        <w:t>B.满意度题项指标可以等级量化，“非常满意”=5，“满意”=4，“比较满意”=3，“不太满意”=2，“很不满意”=1。</w:t>
      </w:r>
    </w:p>
    <w:p>
      <w:pPr>
        <w:pStyle w:val="40"/>
      </w:pPr>
      <w:r>
        <w:rPr>
          <w:rFonts w:hint="eastAsia"/>
        </w:rPr>
        <w:t>C.进行分析的各因素对满意度影响均为正向的。</w:t>
      </w:r>
    </w:p>
    <w:p>
      <w:pPr>
        <w:pStyle w:val="30"/>
      </w:pPr>
      <w:bookmarkStart w:id="352" w:name="_Toc462142860"/>
      <w:bookmarkStart w:id="353" w:name="_Toc469038437"/>
      <w:bookmarkStart w:id="354" w:name="_Toc457897074"/>
      <w:bookmarkStart w:id="355" w:name="_Toc471310997"/>
      <w:bookmarkStart w:id="356" w:name="_Toc459803162"/>
      <w:r>
        <w:rPr>
          <w:rFonts w:hint="eastAsia"/>
        </w:rPr>
        <w:t>（四）模型原理</w:t>
      </w:r>
      <w:bookmarkEnd w:id="352"/>
      <w:bookmarkEnd w:id="353"/>
      <w:bookmarkEnd w:id="354"/>
      <w:bookmarkEnd w:id="355"/>
      <w:bookmarkEnd w:id="356"/>
    </w:p>
    <w:p>
      <w:pPr>
        <w:pStyle w:val="40"/>
      </w:pPr>
      <w:r>
        <w:rPr>
          <w:rFonts w:hint="eastAsia"/>
        </w:rPr>
        <w:t>主成分分析是采取一种数学降维的方法，找出几个综合变量来代替原来众多的变量，使这些综合变量能尽可能地代表原来变量的信息量，而且彼此之间互不相关。这种将多个变量转化为少数几个互不相关的综合变量的统计分析方法就叫做主成分分析或主分量分析。</w:t>
      </w:r>
    </w:p>
    <w:p>
      <w:pPr>
        <w:pStyle w:val="30"/>
      </w:pPr>
      <w:bookmarkStart w:id="357" w:name="_Toc459803163"/>
      <w:bookmarkStart w:id="358" w:name="_Toc457897075"/>
      <w:bookmarkStart w:id="359" w:name="_Toc471310998"/>
      <w:bookmarkStart w:id="360" w:name="_Toc469038438"/>
      <w:bookmarkStart w:id="361" w:name="_Toc462142861"/>
      <w:r>
        <w:rPr>
          <w:rFonts w:hint="eastAsia"/>
        </w:rPr>
        <w:t>（五）模型的建立</w:t>
      </w:r>
      <w:bookmarkEnd w:id="357"/>
      <w:bookmarkEnd w:id="358"/>
      <w:bookmarkEnd w:id="359"/>
      <w:bookmarkEnd w:id="360"/>
      <w:bookmarkEnd w:id="361"/>
    </w:p>
    <w:p>
      <w:pPr>
        <w:pStyle w:val="40"/>
      </w:pPr>
      <w:r>
        <w:rPr>
          <w:rFonts w:hint="eastAsia"/>
        </w:rPr>
        <w:t>利用SPSS20.0，对调研所得的47组样本进行主成分分析，</w:t>
      </w:r>
      <w:r>
        <w:t xml:space="preserve">过程如下： </w:t>
      </w:r>
    </w:p>
    <w:p>
      <w:pPr>
        <w:pStyle w:val="33"/>
      </w:pPr>
      <w:bookmarkStart w:id="362" w:name="_Toc457897076"/>
      <w:bookmarkStart w:id="363" w:name="_Toc469038439"/>
      <w:r>
        <w:t>1</w:t>
      </w:r>
      <w:r>
        <w:rPr>
          <w:rFonts w:hint="eastAsia"/>
        </w:rPr>
        <w:t>.可靠性检验</w:t>
      </w:r>
      <w:bookmarkEnd w:id="362"/>
      <w:bookmarkEnd w:id="363"/>
    </w:p>
    <w:p>
      <w:pPr>
        <w:pStyle w:val="8"/>
        <w:jc w:val="center"/>
        <w:rPr>
          <w:rFonts w:cs="Times New Roman" w:asciiTheme="minorEastAsia" w:hAnsiTheme="minorEastAsia" w:eastAsiaTheme="minorEastAsia"/>
          <w:kern w:val="0"/>
          <w:sz w:val="18"/>
          <w:szCs w:val="18"/>
        </w:rPr>
      </w:pPr>
      <w:bookmarkStart w:id="364" w:name="_Toc470886959"/>
      <w:r>
        <w:rPr>
          <w:rFonts w:hint="eastAsia" w:asciiTheme="minorEastAsia" w:hAnsiTheme="minorEastAsia" w:eastAsiaTheme="minorEastAsia"/>
          <w:sz w:val="18"/>
          <w:szCs w:val="18"/>
        </w:rPr>
        <w:t>表6-</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表6-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8</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cs="Times New Roman" w:asciiTheme="minorEastAsia" w:hAnsiTheme="minorEastAsia" w:eastAsiaTheme="minorEastAsia"/>
          <w:kern w:val="0"/>
          <w:sz w:val="18"/>
          <w:szCs w:val="18"/>
        </w:rPr>
        <w:t>可靠性</w:t>
      </w:r>
      <w:r>
        <w:rPr>
          <w:rFonts w:cs="Times New Roman" w:asciiTheme="minorEastAsia" w:hAnsiTheme="minorEastAsia" w:eastAsiaTheme="minorEastAsia"/>
          <w:kern w:val="0"/>
          <w:sz w:val="18"/>
          <w:szCs w:val="18"/>
        </w:rPr>
        <w:t>统计</w:t>
      </w:r>
      <w:bookmarkEnd w:id="364"/>
    </w:p>
    <w:tbl>
      <w:tblPr>
        <w:tblStyle w:val="22"/>
        <w:tblW w:w="6644" w:type="dxa"/>
        <w:jc w:val="center"/>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472"/>
        <w:gridCol w:w="2472"/>
        <w:gridCol w:w="170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84" w:hRule="atLeast"/>
          <w:jc w:val="center"/>
        </w:trPr>
        <w:tc>
          <w:tcPr>
            <w:tcW w:w="2472" w:type="dxa"/>
            <w:tcBorders>
              <w:top w:val="single" w:color="000000" w:sz="16" w:space="0"/>
              <w:left w:val="single" w:color="000000" w:sz="16" w:space="0"/>
              <w:bottom w:val="single" w:color="000000" w:sz="16" w:space="0"/>
            </w:tcBorders>
            <w:shd w:val="clear" w:color="auto" w:fill="FFFFFF"/>
          </w:tcPr>
          <w:p>
            <w:pPr>
              <w:autoSpaceDE w:val="0"/>
              <w:autoSpaceDN w:val="0"/>
              <w:adjustRightInd w:val="0"/>
              <w:spacing w:before="156" w:after="156" w:line="320" w:lineRule="atLeast"/>
              <w:ind w:left="60" w:right="60"/>
              <w:jc w:val="center"/>
              <w:rPr>
                <w:rFonts w:ascii="MingLiU" w:hAnsi="Times New Roman" w:eastAsia="MingLiU" w:cs="MingLiU"/>
                <w:color w:val="000000"/>
                <w:kern w:val="0"/>
                <w:sz w:val="18"/>
                <w:szCs w:val="18"/>
              </w:rPr>
            </w:pPr>
            <w:r>
              <w:rPr>
                <w:rFonts w:ascii="MingLiU" w:hAnsi="Times New Roman" w:eastAsia="MingLiU" w:cs="MingLiU"/>
                <w:color w:val="000000"/>
                <w:kern w:val="0"/>
                <w:sz w:val="18"/>
                <w:szCs w:val="18"/>
              </w:rPr>
              <w:t>Cronbach's Alpha</w:t>
            </w:r>
          </w:p>
        </w:tc>
        <w:tc>
          <w:tcPr>
            <w:tcW w:w="2472" w:type="dxa"/>
            <w:tcBorders>
              <w:top w:val="single" w:color="000000" w:sz="16" w:space="0"/>
              <w:bottom w:val="single" w:color="000000" w:sz="16" w:space="0"/>
            </w:tcBorders>
            <w:shd w:val="clear" w:color="auto" w:fill="FFFFFF"/>
          </w:tcPr>
          <w:p>
            <w:pPr>
              <w:autoSpaceDE w:val="0"/>
              <w:autoSpaceDN w:val="0"/>
              <w:adjustRightInd w:val="0"/>
              <w:spacing w:before="156" w:after="156" w:line="320" w:lineRule="atLeast"/>
              <w:ind w:left="60" w:right="60"/>
              <w:jc w:val="center"/>
              <w:rPr>
                <w:rFonts w:ascii="MingLiU" w:hAnsi="Times New Roman" w:eastAsia="MingLiU" w:cs="MingLiU"/>
                <w:color w:val="000000"/>
                <w:kern w:val="0"/>
                <w:sz w:val="18"/>
                <w:szCs w:val="18"/>
              </w:rPr>
            </w:pPr>
            <w:r>
              <w:rPr>
                <w:rFonts w:hint="eastAsia" w:ascii="MingLiU" w:hAnsi="Times New Roman" w:eastAsia="MingLiU" w:cs="MingLiU"/>
                <w:color w:val="000000"/>
                <w:kern w:val="0"/>
                <w:sz w:val="18"/>
                <w:szCs w:val="18"/>
              </w:rPr>
              <w:t>基于标准化项的</w:t>
            </w:r>
            <w:r>
              <w:rPr>
                <w:rFonts w:ascii="MingLiU" w:hAnsi="Times New Roman" w:eastAsia="MingLiU" w:cs="MingLiU"/>
                <w:color w:val="000000"/>
                <w:kern w:val="0"/>
                <w:sz w:val="18"/>
                <w:szCs w:val="18"/>
              </w:rPr>
              <w:t xml:space="preserve"> Cronbachs Alpha</w:t>
            </w:r>
          </w:p>
        </w:tc>
        <w:tc>
          <w:tcPr>
            <w:tcW w:w="1700" w:type="dxa"/>
            <w:tcBorders>
              <w:top w:val="single" w:color="000000" w:sz="16" w:space="0"/>
              <w:bottom w:val="single" w:color="000000" w:sz="16" w:space="0"/>
              <w:right w:val="single" w:color="000000" w:sz="16" w:space="0"/>
            </w:tcBorders>
            <w:shd w:val="clear" w:color="auto" w:fill="FFFFFF"/>
          </w:tcPr>
          <w:p>
            <w:pPr>
              <w:autoSpaceDE w:val="0"/>
              <w:autoSpaceDN w:val="0"/>
              <w:adjustRightInd w:val="0"/>
              <w:spacing w:before="156" w:after="156" w:line="320" w:lineRule="atLeast"/>
              <w:ind w:left="60" w:right="60"/>
              <w:jc w:val="center"/>
              <w:rPr>
                <w:rFonts w:ascii="MingLiU" w:hAnsi="Times New Roman" w:eastAsia="MingLiU" w:cs="MingLiU"/>
                <w:color w:val="000000"/>
                <w:kern w:val="0"/>
                <w:sz w:val="18"/>
                <w:szCs w:val="18"/>
              </w:rPr>
            </w:pPr>
            <w:r>
              <w:rPr>
                <w:rFonts w:hint="eastAsia" w:ascii="MingLiU" w:hAnsi="Times New Roman" w:eastAsia="MingLiU" w:cs="MingLiU"/>
                <w:color w:val="000000"/>
                <w:kern w:val="0"/>
                <w:sz w:val="18"/>
                <w:szCs w:val="18"/>
              </w:rPr>
              <w:t>项数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26" w:hRule="atLeast"/>
          <w:jc w:val="center"/>
        </w:trPr>
        <w:tc>
          <w:tcPr>
            <w:tcW w:w="2472" w:type="dxa"/>
            <w:tcBorders>
              <w:top w:val="single" w:color="000000" w:sz="16" w:space="0"/>
              <w:left w:val="single" w:color="000000" w:sz="16" w:space="0"/>
              <w:bottom w:val="single" w:color="000000" w:sz="16" w:space="0"/>
            </w:tcBorders>
            <w:shd w:val="clear" w:color="auto" w:fill="FFFFFF"/>
            <w:vAlign w:val="center"/>
          </w:tcPr>
          <w:p>
            <w:pPr>
              <w:autoSpaceDE w:val="0"/>
              <w:autoSpaceDN w:val="0"/>
              <w:adjustRightInd w:val="0"/>
              <w:spacing w:before="156" w:after="156" w:line="320" w:lineRule="atLeast"/>
              <w:ind w:left="60" w:right="60"/>
              <w:jc w:val="right"/>
              <w:rPr>
                <w:rFonts w:ascii="MingLiU" w:hAnsi="Times New Roman" w:eastAsia="MingLiU" w:cs="MingLiU"/>
                <w:color w:val="000000"/>
                <w:kern w:val="0"/>
                <w:sz w:val="18"/>
                <w:szCs w:val="18"/>
              </w:rPr>
            </w:pPr>
            <w:r>
              <w:rPr>
                <w:rFonts w:ascii="MingLiU" w:hAnsi="Times New Roman" w:eastAsia="MingLiU" w:cs="MingLiU"/>
                <w:color w:val="000000"/>
                <w:kern w:val="0"/>
                <w:sz w:val="18"/>
                <w:szCs w:val="18"/>
              </w:rPr>
              <w:t>.9</w:t>
            </w:r>
            <w:r>
              <w:rPr>
                <w:rFonts w:hint="eastAsia" w:ascii="MingLiU" w:hAnsi="Times New Roman" w:eastAsia="MingLiU" w:cs="MingLiU"/>
                <w:color w:val="000000"/>
                <w:kern w:val="0"/>
                <w:sz w:val="18"/>
                <w:szCs w:val="18"/>
              </w:rPr>
              <w:t>71</w:t>
            </w:r>
          </w:p>
        </w:tc>
        <w:tc>
          <w:tcPr>
            <w:tcW w:w="2472" w:type="dxa"/>
            <w:tcBorders>
              <w:top w:val="single" w:color="000000" w:sz="16" w:space="0"/>
              <w:bottom w:val="single" w:color="000000" w:sz="16" w:space="0"/>
            </w:tcBorders>
            <w:shd w:val="clear" w:color="auto" w:fill="FFFFFF"/>
            <w:vAlign w:val="center"/>
          </w:tcPr>
          <w:p>
            <w:pPr>
              <w:autoSpaceDE w:val="0"/>
              <w:autoSpaceDN w:val="0"/>
              <w:adjustRightInd w:val="0"/>
              <w:spacing w:before="156" w:after="156" w:line="320" w:lineRule="atLeast"/>
              <w:ind w:left="60" w:right="60"/>
              <w:jc w:val="right"/>
              <w:rPr>
                <w:rFonts w:ascii="MingLiU" w:hAnsi="Times New Roman" w:eastAsia="MingLiU" w:cs="MingLiU"/>
                <w:color w:val="000000"/>
                <w:kern w:val="0"/>
                <w:sz w:val="18"/>
                <w:szCs w:val="18"/>
              </w:rPr>
            </w:pPr>
            <w:r>
              <w:rPr>
                <w:rFonts w:ascii="MingLiU" w:hAnsi="Times New Roman" w:eastAsia="MingLiU" w:cs="MingLiU"/>
                <w:color w:val="000000"/>
                <w:kern w:val="0"/>
                <w:sz w:val="18"/>
                <w:szCs w:val="18"/>
              </w:rPr>
              <w:t>.9</w:t>
            </w:r>
            <w:r>
              <w:rPr>
                <w:rFonts w:hint="eastAsia" w:ascii="MingLiU" w:hAnsi="Times New Roman" w:eastAsia="MingLiU" w:cs="MingLiU"/>
                <w:color w:val="000000"/>
                <w:kern w:val="0"/>
                <w:sz w:val="18"/>
                <w:szCs w:val="18"/>
              </w:rPr>
              <w:t>71</w:t>
            </w:r>
          </w:p>
        </w:tc>
        <w:tc>
          <w:tcPr>
            <w:tcW w:w="1700" w:type="dxa"/>
            <w:tcBorders>
              <w:top w:val="single" w:color="000000" w:sz="16" w:space="0"/>
              <w:bottom w:val="single" w:color="000000" w:sz="16" w:space="0"/>
              <w:right w:val="single" w:color="000000" w:sz="16" w:space="0"/>
            </w:tcBorders>
            <w:shd w:val="clear" w:color="auto" w:fill="FFFFFF"/>
            <w:vAlign w:val="center"/>
          </w:tcPr>
          <w:p>
            <w:pPr>
              <w:autoSpaceDE w:val="0"/>
              <w:autoSpaceDN w:val="0"/>
              <w:adjustRightInd w:val="0"/>
              <w:spacing w:before="156" w:after="156" w:line="320" w:lineRule="atLeast"/>
              <w:ind w:left="60" w:right="60"/>
              <w:jc w:val="right"/>
              <w:rPr>
                <w:rFonts w:ascii="MingLiU" w:hAnsi="Times New Roman" w:eastAsia="MingLiU" w:cs="MingLiU"/>
                <w:color w:val="000000"/>
                <w:kern w:val="0"/>
                <w:sz w:val="18"/>
                <w:szCs w:val="18"/>
              </w:rPr>
            </w:pPr>
            <w:r>
              <w:rPr>
                <w:rFonts w:ascii="MingLiU" w:hAnsi="Times New Roman" w:eastAsia="MingLiU" w:cs="MingLiU"/>
                <w:color w:val="000000"/>
                <w:kern w:val="0"/>
                <w:sz w:val="18"/>
                <w:szCs w:val="18"/>
              </w:rPr>
              <w:t>18</w:t>
            </w:r>
          </w:p>
        </w:tc>
      </w:tr>
    </w:tbl>
    <w:p>
      <w:pPr>
        <w:pStyle w:val="40"/>
      </w:pPr>
      <w:r>
        <w:rPr>
          <w:rFonts w:hint="eastAsia"/>
        </w:rPr>
        <w:t>通过上表可以看出：Alpha(克隆巴赫系数)=0.971，信度分析结果非常好，因此该量表具有很高的内在一致性，可靠性较强，问卷设计合理，数据分析结果可靠。</w:t>
      </w:r>
    </w:p>
    <w:p>
      <w:pPr>
        <w:pStyle w:val="33"/>
      </w:pPr>
      <w:bookmarkStart w:id="365" w:name="_Toc457897077"/>
      <w:bookmarkStart w:id="366" w:name="_Toc469038440"/>
      <w:r>
        <w:t>2</w:t>
      </w:r>
      <w:r>
        <w:rPr>
          <w:rFonts w:hint="eastAsia"/>
        </w:rPr>
        <w:t>.对所分析数据进行KMO检验和Bartlett球度检验</w:t>
      </w:r>
      <w:bookmarkEnd w:id="365"/>
      <w:bookmarkEnd w:id="366"/>
      <w:r>
        <w:rPr>
          <w:rFonts w:hint="eastAsia"/>
        </w:rPr>
        <w:t xml:space="preserve">  </w:t>
      </w:r>
    </w:p>
    <w:p>
      <w:pPr>
        <w:pStyle w:val="8"/>
        <w:jc w:val="center"/>
        <w:rPr>
          <w:rFonts w:cs="Times New Roman" w:asciiTheme="minorEastAsia" w:hAnsiTheme="minorEastAsia" w:eastAsiaTheme="minorEastAsia"/>
          <w:kern w:val="0"/>
          <w:sz w:val="18"/>
          <w:szCs w:val="18"/>
        </w:rPr>
      </w:pPr>
      <w:bookmarkStart w:id="367" w:name="_Toc470886960"/>
      <w:r>
        <w:rPr>
          <w:rFonts w:hint="eastAsia" w:asciiTheme="minorEastAsia" w:hAnsiTheme="minorEastAsia" w:eastAsiaTheme="minorEastAsia"/>
          <w:sz w:val="18"/>
          <w:szCs w:val="18"/>
        </w:rPr>
        <w:t>表6-</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表6-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9</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cs="MingLiU" w:asciiTheme="minorEastAsia" w:hAnsiTheme="minorEastAsia" w:eastAsiaTheme="minorEastAsia"/>
          <w:bCs/>
          <w:color w:val="000000"/>
          <w:kern w:val="0"/>
          <w:sz w:val="18"/>
          <w:szCs w:val="18"/>
        </w:rPr>
        <w:t xml:space="preserve">KMO </w:t>
      </w:r>
      <w:r>
        <w:rPr>
          <w:rFonts w:hint="eastAsia" w:cs="MingLiU" w:asciiTheme="minorEastAsia" w:hAnsiTheme="minorEastAsia" w:eastAsiaTheme="minorEastAsia"/>
          <w:bCs/>
          <w:color w:val="000000"/>
          <w:kern w:val="0"/>
          <w:sz w:val="18"/>
          <w:szCs w:val="18"/>
        </w:rPr>
        <w:t>和</w:t>
      </w:r>
      <w:r>
        <w:rPr>
          <w:rFonts w:cs="MingLiU" w:asciiTheme="minorEastAsia" w:hAnsiTheme="minorEastAsia" w:eastAsiaTheme="minorEastAsia"/>
          <w:bCs/>
          <w:color w:val="000000"/>
          <w:kern w:val="0"/>
          <w:sz w:val="18"/>
          <w:szCs w:val="18"/>
        </w:rPr>
        <w:t xml:space="preserve"> Bartlett </w:t>
      </w:r>
      <w:r>
        <w:rPr>
          <w:rFonts w:hint="eastAsia" w:cs="MingLiU" w:asciiTheme="minorEastAsia" w:hAnsiTheme="minorEastAsia" w:eastAsiaTheme="minorEastAsia"/>
          <w:bCs/>
          <w:color w:val="000000"/>
          <w:kern w:val="0"/>
          <w:sz w:val="18"/>
          <w:szCs w:val="18"/>
        </w:rPr>
        <w:t>的检验</w:t>
      </w:r>
      <w:bookmarkEnd w:id="367"/>
    </w:p>
    <w:tbl>
      <w:tblPr>
        <w:tblStyle w:val="22"/>
        <w:tblW w:w="579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380"/>
        <w:gridCol w:w="2144"/>
        <w:gridCol w:w="1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03" w:hRule="atLeast"/>
          <w:jc w:val="center"/>
        </w:trPr>
        <w:tc>
          <w:tcPr>
            <w:tcW w:w="4524" w:type="dxa"/>
            <w:gridSpan w:val="2"/>
            <w:shd w:val="clear" w:color="auto" w:fill="FFFFFF"/>
            <w:vAlign w:val="center"/>
          </w:tcPr>
          <w:p>
            <w:pPr>
              <w:autoSpaceDE w:val="0"/>
              <w:autoSpaceDN w:val="0"/>
              <w:adjustRightInd w:val="0"/>
              <w:spacing w:before="156" w:after="156" w:line="320" w:lineRule="atLeast"/>
              <w:ind w:left="60" w:right="60"/>
              <w:jc w:val="left"/>
              <w:rPr>
                <w:rFonts w:ascii="MingLiU" w:hAnsi="Times New Roman" w:eastAsia="MingLiU" w:cs="MingLiU"/>
                <w:color w:val="000000"/>
                <w:kern w:val="0"/>
                <w:sz w:val="18"/>
                <w:szCs w:val="18"/>
              </w:rPr>
            </w:pPr>
            <w:r>
              <w:rPr>
                <w:rFonts w:hint="eastAsia" w:ascii="MingLiU" w:hAnsi="Times New Roman" w:eastAsia="MingLiU" w:cs="MingLiU"/>
                <w:color w:val="000000"/>
                <w:kern w:val="0"/>
                <w:sz w:val="18"/>
                <w:szCs w:val="18"/>
              </w:rPr>
              <w:t>取样足够度的</w:t>
            </w:r>
            <w:r>
              <w:rPr>
                <w:rFonts w:ascii="MingLiU" w:hAnsi="Times New Roman" w:eastAsia="MingLiU" w:cs="MingLiU"/>
                <w:color w:val="000000"/>
                <w:kern w:val="0"/>
                <w:sz w:val="18"/>
                <w:szCs w:val="18"/>
              </w:rPr>
              <w:t xml:space="preserve"> Kaiser-Meyer-Olkin </w:t>
            </w:r>
            <w:r>
              <w:rPr>
                <w:rFonts w:hint="eastAsia" w:ascii="MingLiU" w:hAnsi="Times New Roman" w:eastAsia="MingLiU" w:cs="MingLiU"/>
                <w:color w:val="000000"/>
                <w:kern w:val="0"/>
                <w:sz w:val="18"/>
                <w:szCs w:val="18"/>
              </w:rPr>
              <w:t>度量。</w:t>
            </w:r>
          </w:p>
        </w:tc>
        <w:tc>
          <w:tcPr>
            <w:tcW w:w="1271" w:type="dxa"/>
            <w:shd w:val="clear" w:color="auto" w:fill="FFFFFF"/>
            <w:vAlign w:val="center"/>
          </w:tcPr>
          <w:p>
            <w:pPr>
              <w:autoSpaceDE w:val="0"/>
              <w:autoSpaceDN w:val="0"/>
              <w:adjustRightInd w:val="0"/>
              <w:spacing w:before="156" w:after="156" w:line="320" w:lineRule="atLeast"/>
              <w:ind w:left="60" w:right="60"/>
              <w:jc w:val="right"/>
              <w:rPr>
                <w:rFonts w:ascii="MingLiU" w:hAnsi="Times New Roman" w:eastAsia="MingLiU" w:cs="MingLiU"/>
                <w:color w:val="000000"/>
                <w:kern w:val="0"/>
                <w:sz w:val="18"/>
                <w:szCs w:val="18"/>
              </w:rPr>
            </w:pPr>
            <w:r>
              <w:rPr>
                <w:rFonts w:ascii="MingLiU" w:hAnsi="Times New Roman" w:eastAsia="MingLiU" w:cs="MingLiU"/>
                <w:color w:val="000000"/>
                <w:kern w:val="0"/>
                <w:sz w:val="18"/>
                <w:szCs w:val="18"/>
              </w:rPr>
              <w:t>.863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23" w:hRule="atLeast"/>
          <w:jc w:val="center"/>
        </w:trPr>
        <w:tc>
          <w:tcPr>
            <w:tcW w:w="2380" w:type="dxa"/>
            <w:vMerge w:val="restart"/>
            <w:shd w:val="clear" w:color="auto" w:fill="FFFFFF"/>
            <w:vAlign w:val="center"/>
          </w:tcPr>
          <w:p>
            <w:pPr>
              <w:autoSpaceDE w:val="0"/>
              <w:autoSpaceDN w:val="0"/>
              <w:adjustRightInd w:val="0"/>
              <w:spacing w:before="156" w:after="156" w:line="320" w:lineRule="atLeast"/>
              <w:ind w:left="60" w:right="60"/>
              <w:jc w:val="left"/>
              <w:rPr>
                <w:rFonts w:ascii="MingLiU" w:hAnsi="Times New Roman" w:eastAsia="MingLiU" w:cs="MingLiU"/>
                <w:color w:val="000000"/>
                <w:kern w:val="0"/>
                <w:sz w:val="18"/>
                <w:szCs w:val="18"/>
              </w:rPr>
            </w:pPr>
            <w:r>
              <w:rPr>
                <w:rFonts w:ascii="MingLiU" w:hAnsi="Times New Roman" w:eastAsia="MingLiU" w:cs="MingLiU"/>
                <w:color w:val="000000"/>
                <w:kern w:val="0"/>
                <w:sz w:val="18"/>
                <w:szCs w:val="18"/>
              </w:rPr>
              <w:t xml:space="preserve">Bartlett </w:t>
            </w:r>
            <w:r>
              <w:rPr>
                <w:rFonts w:hint="eastAsia" w:ascii="MingLiU" w:hAnsi="Times New Roman" w:eastAsia="MingLiU" w:cs="MingLiU"/>
                <w:color w:val="000000"/>
                <w:kern w:val="0"/>
                <w:sz w:val="18"/>
                <w:szCs w:val="18"/>
              </w:rPr>
              <w:t>的球形度检验</w:t>
            </w:r>
          </w:p>
        </w:tc>
        <w:tc>
          <w:tcPr>
            <w:tcW w:w="2144" w:type="dxa"/>
            <w:shd w:val="clear" w:color="auto" w:fill="FFFFFF"/>
            <w:vAlign w:val="center"/>
          </w:tcPr>
          <w:p>
            <w:pPr>
              <w:autoSpaceDE w:val="0"/>
              <w:autoSpaceDN w:val="0"/>
              <w:adjustRightInd w:val="0"/>
              <w:spacing w:before="156" w:after="156" w:line="320" w:lineRule="atLeast"/>
              <w:ind w:left="60" w:right="60"/>
              <w:jc w:val="left"/>
              <w:rPr>
                <w:rFonts w:ascii="MingLiU" w:hAnsi="Times New Roman" w:eastAsia="MingLiU" w:cs="MingLiU"/>
                <w:color w:val="000000"/>
                <w:kern w:val="0"/>
                <w:sz w:val="18"/>
                <w:szCs w:val="18"/>
              </w:rPr>
            </w:pPr>
            <w:r>
              <w:rPr>
                <w:rFonts w:hint="eastAsia" w:ascii="MingLiU" w:hAnsi="Times New Roman" w:eastAsia="MingLiU" w:cs="MingLiU"/>
                <w:color w:val="000000"/>
                <w:kern w:val="0"/>
                <w:sz w:val="18"/>
                <w:szCs w:val="18"/>
              </w:rPr>
              <w:t>近似卡方</w:t>
            </w:r>
          </w:p>
        </w:tc>
        <w:tc>
          <w:tcPr>
            <w:tcW w:w="1271" w:type="dxa"/>
            <w:shd w:val="clear" w:color="auto" w:fill="FFFFFF"/>
            <w:vAlign w:val="center"/>
          </w:tcPr>
          <w:p>
            <w:pPr>
              <w:autoSpaceDE w:val="0"/>
              <w:autoSpaceDN w:val="0"/>
              <w:adjustRightInd w:val="0"/>
              <w:spacing w:before="156" w:after="156" w:line="320" w:lineRule="atLeast"/>
              <w:ind w:left="60" w:right="60"/>
              <w:jc w:val="right"/>
              <w:rPr>
                <w:rFonts w:ascii="MingLiU" w:hAnsi="Times New Roman" w:eastAsia="MingLiU" w:cs="MingLiU"/>
                <w:color w:val="000000"/>
                <w:kern w:val="0"/>
                <w:sz w:val="18"/>
                <w:szCs w:val="18"/>
              </w:rPr>
            </w:pPr>
            <w:r>
              <w:rPr>
                <w:rFonts w:ascii="MingLiU" w:hAnsi="Times New Roman" w:eastAsia="MingLiU" w:cs="MingLiU"/>
                <w:color w:val="000000"/>
                <w:kern w:val="0"/>
                <w:sz w:val="18"/>
                <w:szCs w:val="18"/>
              </w:rPr>
              <w:t>1085.874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61" w:hRule="atLeast"/>
          <w:jc w:val="center"/>
        </w:trPr>
        <w:tc>
          <w:tcPr>
            <w:tcW w:w="2380" w:type="dxa"/>
            <w:vMerge w:val="continue"/>
            <w:shd w:val="clear" w:color="auto" w:fill="FFFFFF"/>
            <w:vAlign w:val="center"/>
          </w:tcPr>
          <w:p>
            <w:pPr>
              <w:autoSpaceDE w:val="0"/>
              <w:autoSpaceDN w:val="0"/>
              <w:adjustRightInd w:val="0"/>
              <w:spacing w:before="156" w:after="156"/>
              <w:jc w:val="left"/>
              <w:rPr>
                <w:rFonts w:ascii="MingLiU" w:hAnsi="Times New Roman" w:eastAsia="MingLiU" w:cs="MingLiU"/>
                <w:color w:val="000000"/>
                <w:kern w:val="0"/>
                <w:sz w:val="18"/>
                <w:szCs w:val="18"/>
              </w:rPr>
            </w:pPr>
          </w:p>
        </w:tc>
        <w:tc>
          <w:tcPr>
            <w:tcW w:w="2144" w:type="dxa"/>
            <w:shd w:val="clear" w:color="auto" w:fill="FFFFFF"/>
            <w:vAlign w:val="center"/>
          </w:tcPr>
          <w:p>
            <w:pPr>
              <w:autoSpaceDE w:val="0"/>
              <w:autoSpaceDN w:val="0"/>
              <w:adjustRightInd w:val="0"/>
              <w:spacing w:before="156" w:after="156" w:line="320" w:lineRule="atLeast"/>
              <w:ind w:left="60" w:right="60"/>
              <w:jc w:val="left"/>
              <w:rPr>
                <w:rFonts w:ascii="MingLiU" w:hAnsi="Times New Roman" w:eastAsia="MingLiU" w:cs="MingLiU"/>
                <w:color w:val="000000"/>
                <w:kern w:val="0"/>
                <w:sz w:val="18"/>
                <w:szCs w:val="18"/>
              </w:rPr>
            </w:pPr>
            <w:r>
              <w:rPr>
                <w:rFonts w:ascii="MingLiU" w:hAnsi="Times New Roman" w:eastAsia="MingLiU" w:cs="MingLiU"/>
                <w:color w:val="000000"/>
                <w:kern w:val="0"/>
                <w:sz w:val="18"/>
                <w:szCs w:val="18"/>
              </w:rPr>
              <w:t>df</w:t>
            </w:r>
          </w:p>
        </w:tc>
        <w:tc>
          <w:tcPr>
            <w:tcW w:w="1271" w:type="dxa"/>
            <w:shd w:val="clear" w:color="auto" w:fill="FFFFFF"/>
            <w:vAlign w:val="center"/>
          </w:tcPr>
          <w:p>
            <w:pPr>
              <w:autoSpaceDE w:val="0"/>
              <w:autoSpaceDN w:val="0"/>
              <w:adjustRightInd w:val="0"/>
              <w:spacing w:before="156" w:after="156" w:line="320" w:lineRule="atLeast"/>
              <w:ind w:left="60" w:right="60"/>
              <w:jc w:val="right"/>
              <w:rPr>
                <w:rFonts w:ascii="MingLiU" w:hAnsi="Times New Roman" w:eastAsia="MingLiU" w:cs="MingLiU"/>
                <w:color w:val="000000"/>
                <w:kern w:val="0"/>
                <w:sz w:val="18"/>
                <w:szCs w:val="18"/>
              </w:rPr>
            </w:pPr>
            <w:r>
              <w:rPr>
                <w:rFonts w:ascii="MingLiU" w:hAnsi="Times New Roman" w:eastAsia="MingLiU" w:cs="MingLiU"/>
                <w:color w:val="000000"/>
                <w:kern w:val="0"/>
                <w:sz w:val="18"/>
                <w:szCs w:val="18"/>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42" w:hRule="atLeast"/>
          <w:jc w:val="center"/>
        </w:trPr>
        <w:tc>
          <w:tcPr>
            <w:tcW w:w="2380" w:type="dxa"/>
            <w:vMerge w:val="continue"/>
            <w:shd w:val="clear" w:color="auto" w:fill="FFFFFF"/>
            <w:vAlign w:val="center"/>
          </w:tcPr>
          <w:p>
            <w:pPr>
              <w:autoSpaceDE w:val="0"/>
              <w:autoSpaceDN w:val="0"/>
              <w:adjustRightInd w:val="0"/>
              <w:spacing w:before="156" w:after="156"/>
              <w:jc w:val="left"/>
              <w:rPr>
                <w:rFonts w:ascii="MingLiU" w:hAnsi="Times New Roman" w:eastAsia="MingLiU" w:cs="MingLiU"/>
                <w:color w:val="000000"/>
                <w:kern w:val="0"/>
                <w:sz w:val="18"/>
                <w:szCs w:val="18"/>
              </w:rPr>
            </w:pPr>
          </w:p>
        </w:tc>
        <w:tc>
          <w:tcPr>
            <w:tcW w:w="2144" w:type="dxa"/>
            <w:shd w:val="clear" w:color="auto" w:fill="FFFFFF"/>
            <w:vAlign w:val="center"/>
          </w:tcPr>
          <w:p>
            <w:pPr>
              <w:autoSpaceDE w:val="0"/>
              <w:autoSpaceDN w:val="0"/>
              <w:adjustRightInd w:val="0"/>
              <w:spacing w:before="156" w:after="156" w:line="320" w:lineRule="atLeast"/>
              <w:ind w:left="60" w:right="60"/>
              <w:jc w:val="left"/>
              <w:rPr>
                <w:rFonts w:ascii="MingLiU" w:hAnsi="Times New Roman" w:eastAsia="MingLiU" w:cs="MingLiU"/>
                <w:color w:val="000000"/>
                <w:kern w:val="0"/>
                <w:sz w:val="18"/>
                <w:szCs w:val="18"/>
              </w:rPr>
            </w:pPr>
            <w:r>
              <w:rPr>
                <w:rFonts w:ascii="MingLiU" w:hAnsi="Times New Roman" w:eastAsia="MingLiU" w:cs="MingLiU"/>
                <w:color w:val="000000"/>
                <w:kern w:val="0"/>
                <w:sz w:val="18"/>
                <w:szCs w:val="18"/>
              </w:rPr>
              <w:t>Sig.</w:t>
            </w:r>
          </w:p>
        </w:tc>
        <w:tc>
          <w:tcPr>
            <w:tcW w:w="1271" w:type="dxa"/>
            <w:shd w:val="clear" w:color="auto" w:fill="FFFFFF"/>
            <w:vAlign w:val="center"/>
          </w:tcPr>
          <w:p>
            <w:pPr>
              <w:autoSpaceDE w:val="0"/>
              <w:autoSpaceDN w:val="0"/>
              <w:adjustRightInd w:val="0"/>
              <w:spacing w:before="156" w:after="156" w:line="320" w:lineRule="atLeast"/>
              <w:ind w:left="60" w:right="60"/>
              <w:jc w:val="right"/>
              <w:rPr>
                <w:rFonts w:ascii="MingLiU" w:hAnsi="Times New Roman" w:eastAsia="MingLiU" w:cs="MingLiU"/>
                <w:color w:val="000000"/>
                <w:kern w:val="0"/>
                <w:sz w:val="18"/>
                <w:szCs w:val="18"/>
              </w:rPr>
            </w:pPr>
            <w:r>
              <w:rPr>
                <w:rFonts w:ascii="MingLiU" w:hAnsi="Times New Roman" w:eastAsia="MingLiU" w:cs="MingLiU"/>
                <w:color w:val="000000"/>
                <w:kern w:val="0"/>
                <w:sz w:val="18"/>
                <w:szCs w:val="18"/>
              </w:rPr>
              <w:t>.000</w:t>
            </w:r>
          </w:p>
        </w:tc>
      </w:tr>
    </w:tbl>
    <w:p>
      <w:pPr>
        <w:pStyle w:val="40"/>
      </w:pPr>
      <w:r>
        <w:rPr>
          <w:rFonts w:hint="eastAsia"/>
        </w:rPr>
        <w:t>从上表分析结果可以看出，KMO=0.863,说明本次所取得样本量是非常合适的，各变量的偏相关系数符合要求；由P值=0.000可知，变量相关矩阵所建立的模型是比较合适的。</w:t>
      </w:r>
    </w:p>
    <w:p>
      <w:pPr>
        <w:pStyle w:val="33"/>
      </w:pPr>
      <w:bookmarkStart w:id="368" w:name="_Toc457897078"/>
      <w:bookmarkStart w:id="369" w:name="_Toc469038441"/>
      <w:r>
        <w:t>3</w:t>
      </w:r>
      <w:r>
        <w:rPr>
          <w:rFonts w:hint="eastAsia"/>
        </w:rPr>
        <w:t>.特征值与贡献率</w:t>
      </w:r>
      <w:bookmarkEnd w:id="368"/>
      <w:bookmarkEnd w:id="369"/>
    </w:p>
    <w:p>
      <w:pPr>
        <w:pStyle w:val="40"/>
      </w:pPr>
      <w:r>
        <w:rPr>
          <w:rFonts w:hint="eastAsia"/>
        </w:rPr>
        <w:t>运用主成分因子提取法，进行因子分析，处理得到各个变量的相关系数矩阵的特征值和方差贡献率，具体结果见表6</w:t>
      </w:r>
      <w:r>
        <w:t>-10</w:t>
      </w:r>
      <w:r>
        <w:rPr>
          <w:rFonts w:hint="eastAsia"/>
        </w:rPr>
        <w:t>：</w:t>
      </w:r>
    </w:p>
    <w:p>
      <w:pPr>
        <w:pStyle w:val="8"/>
        <w:jc w:val="center"/>
        <w:rPr>
          <w:rFonts w:asciiTheme="minorEastAsia" w:hAnsiTheme="minorEastAsia" w:eastAsiaTheme="minorEastAsia"/>
          <w:sz w:val="18"/>
          <w:szCs w:val="18"/>
        </w:rPr>
      </w:pPr>
      <w:bookmarkStart w:id="370" w:name="_Toc470886961"/>
      <w:r>
        <w:rPr>
          <w:rFonts w:asciiTheme="minorEastAsia" w:hAnsiTheme="minorEastAsia" w:eastAsiaTheme="minorEastAsia"/>
          <w:sz w:val="18"/>
          <w:szCs w:val="18"/>
        </w:rPr>
        <w:t>表6-</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SEQ 表6- \* ARABIC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10</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cs="MingLiU" w:asciiTheme="minorEastAsia" w:hAnsiTheme="minorEastAsia" w:eastAsiaTheme="minorEastAsia"/>
          <w:bCs/>
          <w:color w:val="000000"/>
          <w:kern w:val="0"/>
          <w:sz w:val="18"/>
          <w:szCs w:val="18"/>
        </w:rPr>
        <w:t>解释的总方差</w:t>
      </w:r>
      <w:bookmarkEnd w:id="370"/>
    </w:p>
    <w:tbl>
      <w:tblPr>
        <w:tblStyle w:val="22"/>
        <w:tblW w:w="73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84"/>
        <w:gridCol w:w="1079"/>
        <w:gridCol w:w="1112"/>
        <w:gridCol w:w="1081"/>
        <w:gridCol w:w="1080"/>
        <w:gridCol w:w="1112"/>
        <w:gridCol w:w="1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37" w:hRule="atLeast"/>
          <w:jc w:val="center"/>
        </w:trPr>
        <w:tc>
          <w:tcPr>
            <w:tcW w:w="784" w:type="dxa"/>
            <w:vMerge w:val="restart"/>
            <w:shd w:val="clear" w:color="auto" w:fill="FFFFFF"/>
            <w:vAlign w:val="center"/>
          </w:tcPr>
          <w:p>
            <w:pPr>
              <w:jc w:val="center"/>
              <w:rPr>
                <w:rFonts w:asciiTheme="minorEastAsia" w:hAnsiTheme="minorEastAsia"/>
                <w:sz w:val="18"/>
                <w:szCs w:val="18"/>
              </w:rPr>
            </w:pPr>
            <w:r>
              <w:rPr>
                <w:rFonts w:hint="eastAsia" w:asciiTheme="minorEastAsia" w:hAnsiTheme="minorEastAsia"/>
                <w:sz w:val="18"/>
                <w:szCs w:val="18"/>
              </w:rPr>
              <w:t>成份</w:t>
            </w:r>
          </w:p>
        </w:tc>
        <w:tc>
          <w:tcPr>
            <w:tcW w:w="3272" w:type="dxa"/>
            <w:gridSpan w:val="3"/>
            <w:shd w:val="clear" w:color="auto" w:fill="FFFFFF"/>
            <w:vAlign w:val="center"/>
          </w:tcPr>
          <w:p>
            <w:pPr>
              <w:jc w:val="center"/>
              <w:rPr>
                <w:rFonts w:asciiTheme="minorEastAsia" w:hAnsiTheme="minorEastAsia"/>
                <w:sz w:val="18"/>
                <w:szCs w:val="18"/>
              </w:rPr>
            </w:pPr>
            <w:r>
              <w:rPr>
                <w:rFonts w:hint="eastAsia" w:asciiTheme="minorEastAsia" w:hAnsiTheme="minorEastAsia"/>
                <w:sz w:val="18"/>
                <w:szCs w:val="18"/>
              </w:rPr>
              <w:t>初始特征值</w:t>
            </w:r>
          </w:p>
        </w:tc>
        <w:tc>
          <w:tcPr>
            <w:tcW w:w="3275" w:type="dxa"/>
            <w:gridSpan w:val="3"/>
            <w:shd w:val="clear" w:color="auto" w:fill="FFFFFF"/>
            <w:vAlign w:val="center"/>
          </w:tcPr>
          <w:p>
            <w:pPr>
              <w:jc w:val="center"/>
              <w:rPr>
                <w:rFonts w:asciiTheme="minorEastAsia" w:hAnsiTheme="minorEastAsia"/>
                <w:sz w:val="18"/>
                <w:szCs w:val="18"/>
              </w:rPr>
            </w:pPr>
            <w:r>
              <w:rPr>
                <w:rFonts w:hint="eastAsia" w:asciiTheme="minorEastAsia" w:hAnsiTheme="minorEastAsia"/>
                <w:sz w:val="18"/>
                <w:szCs w:val="18"/>
              </w:rPr>
              <w:t>提取平方和载入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9" w:hRule="atLeast"/>
          <w:jc w:val="center"/>
        </w:trPr>
        <w:tc>
          <w:tcPr>
            <w:tcW w:w="784" w:type="dxa"/>
            <w:vMerge w:val="continue"/>
            <w:shd w:val="clear" w:color="auto" w:fill="FFFFFF"/>
            <w:vAlign w:val="center"/>
          </w:tcPr>
          <w:p>
            <w:pPr>
              <w:jc w:val="center"/>
              <w:rPr>
                <w:rFonts w:asciiTheme="minorEastAsia" w:hAnsiTheme="minorEastAsia"/>
                <w:sz w:val="18"/>
                <w:szCs w:val="18"/>
              </w:rPr>
            </w:pPr>
          </w:p>
        </w:tc>
        <w:tc>
          <w:tcPr>
            <w:tcW w:w="1079" w:type="dxa"/>
            <w:shd w:val="clear" w:color="auto" w:fill="FFFFFF"/>
            <w:vAlign w:val="center"/>
          </w:tcPr>
          <w:p>
            <w:pPr>
              <w:jc w:val="center"/>
              <w:rPr>
                <w:rFonts w:asciiTheme="minorEastAsia" w:hAnsiTheme="minorEastAsia"/>
                <w:sz w:val="18"/>
                <w:szCs w:val="18"/>
              </w:rPr>
            </w:pPr>
            <w:r>
              <w:rPr>
                <w:rFonts w:hint="eastAsia" w:asciiTheme="minorEastAsia" w:hAnsiTheme="minorEastAsia"/>
                <w:sz w:val="18"/>
                <w:szCs w:val="18"/>
              </w:rPr>
              <w:t>合计</w:t>
            </w:r>
          </w:p>
        </w:tc>
        <w:tc>
          <w:tcPr>
            <w:tcW w:w="1112" w:type="dxa"/>
            <w:shd w:val="clear" w:color="auto" w:fill="FFFFFF"/>
            <w:vAlign w:val="center"/>
          </w:tcPr>
          <w:p>
            <w:pPr>
              <w:jc w:val="center"/>
              <w:rPr>
                <w:rFonts w:asciiTheme="minorEastAsia" w:hAnsiTheme="minorEastAsia"/>
                <w:sz w:val="18"/>
                <w:szCs w:val="18"/>
              </w:rPr>
            </w:pPr>
            <w:r>
              <w:rPr>
                <w:rFonts w:hint="eastAsia" w:asciiTheme="minorEastAsia" w:hAnsiTheme="minorEastAsia"/>
                <w:sz w:val="18"/>
                <w:szCs w:val="18"/>
              </w:rPr>
              <w:t>方差的</w:t>
            </w:r>
            <w:r>
              <w:rPr>
                <w:rFonts w:asciiTheme="minorEastAsia" w:hAnsiTheme="minorEastAsia"/>
                <w:sz w:val="18"/>
                <w:szCs w:val="18"/>
              </w:rPr>
              <w:t xml:space="preserve"> %</w:t>
            </w:r>
          </w:p>
        </w:tc>
        <w:tc>
          <w:tcPr>
            <w:tcW w:w="1081" w:type="dxa"/>
            <w:shd w:val="clear" w:color="auto" w:fill="FFFFFF"/>
            <w:vAlign w:val="center"/>
          </w:tcPr>
          <w:p>
            <w:pPr>
              <w:jc w:val="center"/>
              <w:rPr>
                <w:rFonts w:asciiTheme="minorEastAsia" w:hAnsiTheme="minorEastAsia"/>
                <w:sz w:val="18"/>
                <w:szCs w:val="18"/>
              </w:rPr>
            </w:pPr>
            <w:r>
              <w:rPr>
                <w:rFonts w:hint="eastAsia" w:asciiTheme="minorEastAsia" w:hAnsiTheme="minorEastAsia"/>
                <w:sz w:val="18"/>
                <w:szCs w:val="18"/>
              </w:rPr>
              <w:t>累积</w:t>
            </w:r>
            <w:r>
              <w:rPr>
                <w:rFonts w:asciiTheme="minorEastAsia" w:hAnsiTheme="minorEastAsia"/>
                <w:sz w:val="18"/>
                <w:szCs w:val="18"/>
              </w:rPr>
              <w:t xml:space="preserve"> %</w:t>
            </w:r>
          </w:p>
        </w:tc>
        <w:tc>
          <w:tcPr>
            <w:tcW w:w="1080" w:type="dxa"/>
            <w:shd w:val="clear" w:color="auto" w:fill="FFFFFF"/>
            <w:vAlign w:val="center"/>
          </w:tcPr>
          <w:p>
            <w:pPr>
              <w:jc w:val="center"/>
              <w:rPr>
                <w:rFonts w:asciiTheme="minorEastAsia" w:hAnsiTheme="minorEastAsia"/>
                <w:sz w:val="18"/>
                <w:szCs w:val="18"/>
              </w:rPr>
            </w:pPr>
            <w:r>
              <w:rPr>
                <w:rFonts w:hint="eastAsia" w:asciiTheme="minorEastAsia" w:hAnsiTheme="minorEastAsia"/>
                <w:sz w:val="18"/>
                <w:szCs w:val="18"/>
              </w:rPr>
              <w:t>合计</w:t>
            </w:r>
          </w:p>
        </w:tc>
        <w:tc>
          <w:tcPr>
            <w:tcW w:w="1112" w:type="dxa"/>
            <w:shd w:val="clear" w:color="auto" w:fill="FFFFFF"/>
            <w:vAlign w:val="center"/>
          </w:tcPr>
          <w:p>
            <w:pPr>
              <w:jc w:val="center"/>
              <w:rPr>
                <w:rFonts w:asciiTheme="minorEastAsia" w:hAnsiTheme="minorEastAsia"/>
                <w:sz w:val="18"/>
                <w:szCs w:val="18"/>
              </w:rPr>
            </w:pPr>
            <w:r>
              <w:rPr>
                <w:rFonts w:hint="eastAsia" w:asciiTheme="minorEastAsia" w:hAnsiTheme="minorEastAsia"/>
                <w:sz w:val="18"/>
                <w:szCs w:val="18"/>
              </w:rPr>
              <w:t>方差的</w:t>
            </w:r>
            <w:r>
              <w:rPr>
                <w:rFonts w:asciiTheme="minorEastAsia" w:hAnsiTheme="minorEastAsia"/>
                <w:sz w:val="18"/>
                <w:szCs w:val="18"/>
              </w:rPr>
              <w:t xml:space="preserve"> %</w:t>
            </w:r>
          </w:p>
        </w:tc>
        <w:tc>
          <w:tcPr>
            <w:tcW w:w="1083" w:type="dxa"/>
            <w:shd w:val="clear" w:color="auto" w:fill="FFFFFF"/>
            <w:vAlign w:val="center"/>
          </w:tcPr>
          <w:p>
            <w:pPr>
              <w:jc w:val="center"/>
              <w:rPr>
                <w:rFonts w:asciiTheme="minorEastAsia" w:hAnsiTheme="minorEastAsia"/>
                <w:sz w:val="18"/>
                <w:szCs w:val="18"/>
              </w:rPr>
            </w:pPr>
            <w:r>
              <w:rPr>
                <w:rFonts w:hint="eastAsia" w:asciiTheme="minorEastAsia" w:hAnsiTheme="minorEastAsia"/>
                <w:sz w:val="18"/>
                <w:szCs w:val="18"/>
              </w:rPr>
              <w:t>累积</w:t>
            </w:r>
            <w:r>
              <w:rPr>
                <w:rFonts w:asciiTheme="minorEastAsia" w:hAnsiTheme="minorEastAsia"/>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37" w:hRule="atLeast"/>
          <w:jc w:val="center"/>
        </w:trPr>
        <w:tc>
          <w:tcPr>
            <w:tcW w:w="784"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1</w:t>
            </w:r>
          </w:p>
        </w:tc>
        <w:tc>
          <w:tcPr>
            <w:tcW w:w="1079"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12.149</w:t>
            </w:r>
          </w:p>
        </w:tc>
        <w:tc>
          <w:tcPr>
            <w:tcW w:w="1112"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67.495</w:t>
            </w:r>
          </w:p>
        </w:tc>
        <w:tc>
          <w:tcPr>
            <w:tcW w:w="1081"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67.495</w:t>
            </w:r>
          </w:p>
        </w:tc>
        <w:tc>
          <w:tcPr>
            <w:tcW w:w="1080"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12.149</w:t>
            </w:r>
          </w:p>
        </w:tc>
        <w:tc>
          <w:tcPr>
            <w:tcW w:w="1112"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67.495</w:t>
            </w:r>
          </w:p>
        </w:tc>
        <w:tc>
          <w:tcPr>
            <w:tcW w:w="1083"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67.495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53" w:hRule="atLeast"/>
          <w:jc w:val="center"/>
        </w:trPr>
        <w:tc>
          <w:tcPr>
            <w:tcW w:w="784"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2</w:t>
            </w:r>
          </w:p>
        </w:tc>
        <w:tc>
          <w:tcPr>
            <w:tcW w:w="1079"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1.992</w:t>
            </w:r>
          </w:p>
        </w:tc>
        <w:tc>
          <w:tcPr>
            <w:tcW w:w="1112"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11.066</w:t>
            </w:r>
          </w:p>
        </w:tc>
        <w:tc>
          <w:tcPr>
            <w:tcW w:w="1081"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78.560</w:t>
            </w:r>
          </w:p>
        </w:tc>
        <w:tc>
          <w:tcPr>
            <w:tcW w:w="1080"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1.992</w:t>
            </w:r>
          </w:p>
        </w:tc>
        <w:tc>
          <w:tcPr>
            <w:tcW w:w="1112"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11.066</w:t>
            </w:r>
          </w:p>
        </w:tc>
        <w:tc>
          <w:tcPr>
            <w:tcW w:w="1083"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78.560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37" w:hRule="atLeast"/>
          <w:jc w:val="center"/>
        </w:trPr>
        <w:tc>
          <w:tcPr>
            <w:tcW w:w="784"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3</w:t>
            </w:r>
          </w:p>
        </w:tc>
        <w:tc>
          <w:tcPr>
            <w:tcW w:w="1079"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.835</w:t>
            </w:r>
          </w:p>
        </w:tc>
        <w:tc>
          <w:tcPr>
            <w:tcW w:w="1112"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4.637</w:t>
            </w:r>
          </w:p>
        </w:tc>
        <w:tc>
          <w:tcPr>
            <w:tcW w:w="1081"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83.197</w:t>
            </w:r>
          </w:p>
        </w:tc>
        <w:tc>
          <w:tcPr>
            <w:tcW w:w="1080" w:type="dxa"/>
            <w:shd w:val="clear" w:color="auto" w:fill="FFFFFF"/>
            <w:vAlign w:val="center"/>
          </w:tcPr>
          <w:p>
            <w:pPr>
              <w:jc w:val="center"/>
              <w:rPr>
                <w:rFonts w:asciiTheme="minorEastAsia" w:hAnsiTheme="minorEastAsia"/>
                <w:sz w:val="18"/>
                <w:szCs w:val="18"/>
              </w:rPr>
            </w:pPr>
          </w:p>
        </w:tc>
        <w:tc>
          <w:tcPr>
            <w:tcW w:w="1112" w:type="dxa"/>
            <w:shd w:val="clear" w:color="auto" w:fill="FFFFFF"/>
            <w:vAlign w:val="center"/>
          </w:tcPr>
          <w:p>
            <w:pPr>
              <w:jc w:val="center"/>
              <w:rPr>
                <w:rFonts w:asciiTheme="minorEastAsia" w:hAnsiTheme="minorEastAsia"/>
                <w:sz w:val="18"/>
                <w:szCs w:val="18"/>
              </w:rPr>
            </w:pPr>
          </w:p>
        </w:tc>
        <w:tc>
          <w:tcPr>
            <w:tcW w:w="1083" w:type="dxa"/>
            <w:shd w:val="clear" w:color="auto" w:fill="FFFFFF"/>
            <w:vAlign w:val="center"/>
          </w:tcPr>
          <w:p>
            <w:pPr>
              <w:jc w:val="center"/>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37" w:hRule="atLeast"/>
          <w:jc w:val="center"/>
        </w:trPr>
        <w:tc>
          <w:tcPr>
            <w:tcW w:w="784"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4</w:t>
            </w:r>
          </w:p>
        </w:tc>
        <w:tc>
          <w:tcPr>
            <w:tcW w:w="1079"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.710</w:t>
            </w:r>
          </w:p>
        </w:tc>
        <w:tc>
          <w:tcPr>
            <w:tcW w:w="1112"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3.942</w:t>
            </w:r>
          </w:p>
        </w:tc>
        <w:tc>
          <w:tcPr>
            <w:tcW w:w="1081"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87.139</w:t>
            </w:r>
          </w:p>
        </w:tc>
        <w:tc>
          <w:tcPr>
            <w:tcW w:w="1080" w:type="dxa"/>
            <w:shd w:val="clear" w:color="auto" w:fill="FFFFFF"/>
            <w:vAlign w:val="center"/>
          </w:tcPr>
          <w:p>
            <w:pPr>
              <w:jc w:val="center"/>
              <w:rPr>
                <w:rFonts w:asciiTheme="minorEastAsia" w:hAnsiTheme="minorEastAsia"/>
                <w:sz w:val="18"/>
                <w:szCs w:val="18"/>
              </w:rPr>
            </w:pPr>
          </w:p>
        </w:tc>
        <w:tc>
          <w:tcPr>
            <w:tcW w:w="1112" w:type="dxa"/>
            <w:shd w:val="clear" w:color="auto" w:fill="FFFFFF"/>
            <w:vAlign w:val="center"/>
          </w:tcPr>
          <w:p>
            <w:pPr>
              <w:jc w:val="center"/>
              <w:rPr>
                <w:rFonts w:asciiTheme="minorEastAsia" w:hAnsiTheme="minorEastAsia"/>
                <w:sz w:val="18"/>
                <w:szCs w:val="18"/>
              </w:rPr>
            </w:pPr>
          </w:p>
        </w:tc>
        <w:tc>
          <w:tcPr>
            <w:tcW w:w="1083" w:type="dxa"/>
            <w:shd w:val="clear" w:color="auto" w:fill="FFFFFF"/>
            <w:vAlign w:val="center"/>
          </w:tcPr>
          <w:p>
            <w:pPr>
              <w:jc w:val="center"/>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53" w:hRule="atLeast"/>
          <w:jc w:val="center"/>
        </w:trPr>
        <w:tc>
          <w:tcPr>
            <w:tcW w:w="784"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5</w:t>
            </w:r>
          </w:p>
        </w:tc>
        <w:tc>
          <w:tcPr>
            <w:tcW w:w="1079"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.405</w:t>
            </w:r>
          </w:p>
        </w:tc>
        <w:tc>
          <w:tcPr>
            <w:tcW w:w="1112"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2.249</w:t>
            </w:r>
          </w:p>
        </w:tc>
        <w:tc>
          <w:tcPr>
            <w:tcW w:w="1081"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89.389</w:t>
            </w:r>
          </w:p>
        </w:tc>
        <w:tc>
          <w:tcPr>
            <w:tcW w:w="1080" w:type="dxa"/>
            <w:shd w:val="clear" w:color="auto" w:fill="FFFFFF"/>
            <w:vAlign w:val="center"/>
          </w:tcPr>
          <w:p>
            <w:pPr>
              <w:jc w:val="center"/>
              <w:rPr>
                <w:rFonts w:asciiTheme="minorEastAsia" w:hAnsiTheme="minorEastAsia"/>
                <w:sz w:val="18"/>
                <w:szCs w:val="18"/>
              </w:rPr>
            </w:pPr>
          </w:p>
        </w:tc>
        <w:tc>
          <w:tcPr>
            <w:tcW w:w="1112" w:type="dxa"/>
            <w:shd w:val="clear" w:color="auto" w:fill="FFFFFF"/>
            <w:vAlign w:val="center"/>
          </w:tcPr>
          <w:p>
            <w:pPr>
              <w:jc w:val="center"/>
              <w:rPr>
                <w:rFonts w:asciiTheme="minorEastAsia" w:hAnsiTheme="minorEastAsia"/>
                <w:sz w:val="18"/>
                <w:szCs w:val="18"/>
              </w:rPr>
            </w:pPr>
          </w:p>
        </w:tc>
        <w:tc>
          <w:tcPr>
            <w:tcW w:w="1083" w:type="dxa"/>
            <w:shd w:val="clear" w:color="auto" w:fill="FFFFFF"/>
            <w:vAlign w:val="center"/>
          </w:tcPr>
          <w:p>
            <w:pPr>
              <w:jc w:val="center"/>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37" w:hRule="atLeast"/>
          <w:jc w:val="center"/>
        </w:trPr>
        <w:tc>
          <w:tcPr>
            <w:tcW w:w="784"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6</w:t>
            </w:r>
          </w:p>
        </w:tc>
        <w:tc>
          <w:tcPr>
            <w:tcW w:w="1079"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.359</w:t>
            </w:r>
          </w:p>
        </w:tc>
        <w:tc>
          <w:tcPr>
            <w:tcW w:w="1112"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1.994</w:t>
            </w:r>
          </w:p>
        </w:tc>
        <w:tc>
          <w:tcPr>
            <w:tcW w:w="1081"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91.382</w:t>
            </w:r>
          </w:p>
        </w:tc>
        <w:tc>
          <w:tcPr>
            <w:tcW w:w="1080" w:type="dxa"/>
            <w:shd w:val="clear" w:color="auto" w:fill="FFFFFF"/>
            <w:vAlign w:val="center"/>
          </w:tcPr>
          <w:p>
            <w:pPr>
              <w:jc w:val="center"/>
              <w:rPr>
                <w:rFonts w:asciiTheme="minorEastAsia" w:hAnsiTheme="minorEastAsia"/>
                <w:sz w:val="18"/>
                <w:szCs w:val="18"/>
              </w:rPr>
            </w:pPr>
          </w:p>
        </w:tc>
        <w:tc>
          <w:tcPr>
            <w:tcW w:w="1112" w:type="dxa"/>
            <w:shd w:val="clear" w:color="auto" w:fill="FFFFFF"/>
            <w:vAlign w:val="center"/>
          </w:tcPr>
          <w:p>
            <w:pPr>
              <w:jc w:val="center"/>
              <w:rPr>
                <w:rFonts w:asciiTheme="minorEastAsia" w:hAnsiTheme="minorEastAsia"/>
                <w:sz w:val="18"/>
                <w:szCs w:val="18"/>
              </w:rPr>
            </w:pPr>
          </w:p>
        </w:tc>
        <w:tc>
          <w:tcPr>
            <w:tcW w:w="1083" w:type="dxa"/>
            <w:shd w:val="clear" w:color="auto" w:fill="FFFFFF"/>
            <w:vAlign w:val="center"/>
          </w:tcPr>
          <w:p>
            <w:pPr>
              <w:jc w:val="center"/>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37" w:hRule="atLeast"/>
          <w:jc w:val="center"/>
        </w:trPr>
        <w:tc>
          <w:tcPr>
            <w:tcW w:w="784"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7</w:t>
            </w:r>
          </w:p>
        </w:tc>
        <w:tc>
          <w:tcPr>
            <w:tcW w:w="1079"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.315</w:t>
            </w:r>
          </w:p>
        </w:tc>
        <w:tc>
          <w:tcPr>
            <w:tcW w:w="1112"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1.750</w:t>
            </w:r>
          </w:p>
        </w:tc>
        <w:tc>
          <w:tcPr>
            <w:tcW w:w="1081"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93.132</w:t>
            </w:r>
          </w:p>
        </w:tc>
        <w:tc>
          <w:tcPr>
            <w:tcW w:w="1080" w:type="dxa"/>
            <w:shd w:val="clear" w:color="auto" w:fill="FFFFFF"/>
            <w:vAlign w:val="center"/>
          </w:tcPr>
          <w:p>
            <w:pPr>
              <w:jc w:val="center"/>
              <w:rPr>
                <w:rFonts w:asciiTheme="minorEastAsia" w:hAnsiTheme="minorEastAsia"/>
                <w:sz w:val="18"/>
                <w:szCs w:val="18"/>
              </w:rPr>
            </w:pPr>
          </w:p>
        </w:tc>
        <w:tc>
          <w:tcPr>
            <w:tcW w:w="1112" w:type="dxa"/>
            <w:shd w:val="clear" w:color="auto" w:fill="FFFFFF"/>
            <w:vAlign w:val="center"/>
          </w:tcPr>
          <w:p>
            <w:pPr>
              <w:jc w:val="center"/>
              <w:rPr>
                <w:rFonts w:asciiTheme="minorEastAsia" w:hAnsiTheme="minorEastAsia"/>
                <w:sz w:val="18"/>
                <w:szCs w:val="18"/>
              </w:rPr>
            </w:pPr>
          </w:p>
        </w:tc>
        <w:tc>
          <w:tcPr>
            <w:tcW w:w="1083" w:type="dxa"/>
            <w:shd w:val="clear" w:color="auto" w:fill="FFFFFF"/>
            <w:vAlign w:val="center"/>
          </w:tcPr>
          <w:p>
            <w:pPr>
              <w:jc w:val="center"/>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53" w:hRule="atLeast"/>
          <w:jc w:val="center"/>
        </w:trPr>
        <w:tc>
          <w:tcPr>
            <w:tcW w:w="784"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8</w:t>
            </w:r>
          </w:p>
        </w:tc>
        <w:tc>
          <w:tcPr>
            <w:tcW w:w="1079"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.278</w:t>
            </w:r>
          </w:p>
        </w:tc>
        <w:tc>
          <w:tcPr>
            <w:tcW w:w="1112"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1.545</w:t>
            </w:r>
          </w:p>
        </w:tc>
        <w:tc>
          <w:tcPr>
            <w:tcW w:w="1081"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94.677</w:t>
            </w:r>
          </w:p>
        </w:tc>
        <w:tc>
          <w:tcPr>
            <w:tcW w:w="1080" w:type="dxa"/>
            <w:shd w:val="clear" w:color="auto" w:fill="FFFFFF"/>
            <w:vAlign w:val="center"/>
          </w:tcPr>
          <w:p>
            <w:pPr>
              <w:jc w:val="center"/>
              <w:rPr>
                <w:rFonts w:asciiTheme="minorEastAsia" w:hAnsiTheme="minorEastAsia"/>
                <w:sz w:val="18"/>
                <w:szCs w:val="18"/>
              </w:rPr>
            </w:pPr>
          </w:p>
        </w:tc>
        <w:tc>
          <w:tcPr>
            <w:tcW w:w="1112" w:type="dxa"/>
            <w:shd w:val="clear" w:color="auto" w:fill="FFFFFF"/>
            <w:vAlign w:val="center"/>
          </w:tcPr>
          <w:p>
            <w:pPr>
              <w:jc w:val="center"/>
              <w:rPr>
                <w:rFonts w:asciiTheme="minorEastAsia" w:hAnsiTheme="minorEastAsia"/>
                <w:sz w:val="18"/>
                <w:szCs w:val="18"/>
              </w:rPr>
            </w:pPr>
          </w:p>
        </w:tc>
        <w:tc>
          <w:tcPr>
            <w:tcW w:w="1083" w:type="dxa"/>
            <w:shd w:val="clear" w:color="auto" w:fill="FFFFFF"/>
            <w:vAlign w:val="center"/>
          </w:tcPr>
          <w:p>
            <w:pPr>
              <w:jc w:val="center"/>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37" w:hRule="atLeast"/>
          <w:jc w:val="center"/>
        </w:trPr>
        <w:tc>
          <w:tcPr>
            <w:tcW w:w="784"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9</w:t>
            </w:r>
          </w:p>
        </w:tc>
        <w:tc>
          <w:tcPr>
            <w:tcW w:w="1079"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.200</w:t>
            </w:r>
          </w:p>
        </w:tc>
        <w:tc>
          <w:tcPr>
            <w:tcW w:w="1112"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1.112</w:t>
            </w:r>
          </w:p>
        </w:tc>
        <w:tc>
          <w:tcPr>
            <w:tcW w:w="1081"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95.790</w:t>
            </w:r>
          </w:p>
        </w:tc>
        <w:tc>
          <w:tcPr>
            <w:tcW w:w="1080" w:type="dxa"/>
            <w:shd w:val="clear" w:color="auto" w:fill="FFFFFF"/>
            <w:vAlign w:val="center"/>
          </w:tcPr>
          <w:p>
            <w:pPr>
              <w:jc w:val="center"/>
              <w:rPr>
                <w:rFonts w:asciiTheme="minorEastAsia" w:hAnsiTheme="minorEastAsia"/>
                <w:sz w:val="18"/>
                <w:szCs w:val="18"/>
              </w:rPr>
            </w:pPr>
          </w:p>
        </w:tc>
        <w:tc>
          <w:tcPr>
            <w:tcW w:w="1112" w:type="dxa"/>
            <w:shd w:val="clear" w:color="auto" w:fill="FFFFFF"/>
            <w:vAlign w:val="center"/>
          </w:tcPr>
          <w:p>
            <w:pPr>
              <w:jc w:val="center"/>
              <w:rPr>
                <w:rFonts w:asciiTheme="minorEastAsia" w:hAnsiTheme="minorEastAsia"/>
                <w:sz w:val="18"/>
                <w:szCs w:val="18"/>
              </w:rPr>
            </w:pPr>
          </w:p>
        </w:tc>
        <w:tc>
          <w:tcPr>
            <w:tcW w:w="1083" w:type="dxa"/>
            <w:shd w:val="clear" w:color="auto" w:fill="FFFFFF"/>
            <w:vAlign w:val="center"/>
          </w:tcPr>
          <w:p>
            <w:pPr>
              <w:jc w:val="center"/>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37" w:hRule="atLeast"/>
          <w:jc w:val="center"/>
        </w:trPr>
        <w:tc>
          <w:tcPr>
            <w:tcW w:w="784"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10</w:t>
            </w:r>
          </w:p>
        </w:tc>
        <w:tc>
          <w:tcPr>
            <w:tcW w:w="1079"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.185</w:t>
            </w:r>
          </w:p>
        </w:tc>
        <w:tc>
          <w:tcPr>
            <w:tcW w:w="1112"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1.027</w:t>
            </w:r>
          </w:p>
        </w:tc>
        <w:tc>
          <w:tcPr>
            <w:tcW w:w="1081"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96.816</w:t>
            </w:r>
          </w:p>
        </w:tc>
        <w:tc>
          <w:tcPr>
            <w:tcW w:w="1080" w:type="dxa"/>
            <w:shd w:val="clear" w:color="auto" w:fill="FFFFFF"/>
            <w:vAlign w:val="center"/>
          </w:tcPr>
          <w:p>
            <w:pPr>
              <w:jc w:val="center"/>
              <w:rPr>
                <w:rFonts w:asciiTheme="minorEastAsia" w:hAnsiTheme="minorEastAsia"/>
                <w:sz w:val="18"/>
                <w:szCs w:val="18"/>
              </w:rPr>
            </w:pPr>
          </w:p>
        </w:tc>
        <w:tc>
          <w:tcPr>
            <w:tcW w:w="1112" w:type="dxa"/>
            <w:shd w:val="clear" w:color="auto" w:fill="FFFFFF"/>
            <w:vAlign w:val="center"/>
          </w:tcPr>
          <w:p>
            <w:pPr>
              <w:jc w:val="center"/>
              <w:rPr>
                <w:rFonts w:asciiTheme="minorEastAsia" w:hAnsiTheme="minorEastAsia"/>
                <w:sz w:val="18"/>
                <w:szCs w:val="18"/>
              </w:rPr>
            </w:pPr>
          </w:p>
        </w:tc>
        <w:tc>
          <w:tcPr>
            <w:tcW w:w="1083" w:type="dxa"/>
            <w:shd w:val="clear" w:color="auto" w:fill="FFFFFF"/>
            <w:vAlign w:val="center"/>
          </w:tcPr>
          <w:p>
            <w:pPr>
              <w:jc w:val="center"/>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53" w:hRule="atLeast"/>
          <w:jc w:val="center"/>
        </w:trPr>
        <w:tc>
          <w:tcPr>
            <w:tcW w:w="784"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11</w:t>
            </w:r>
          </w:p>
        </w:tc>
        <w:tc>
          <w:tcPr>
            <w:tcW w:w="1079"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.146</w:t>
            </w:r>
          </w:p>
        </w:tc>
        <w:tc>
          <w:tcPr>
            <w:tcW w:w="1112"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.811</w:t>
            </w:r>
          </w:p>
        </w:tc>
        <w:tc>
          <w:tcPr>
            <w:tcW w:w="1081"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97.627</w:t>
            </w:r>
          </w:p>
        </w:tc>
        <w:tc>
          <w:tcPr>
            <w:tcW w:w="1080" w:type="dxa"/>
            <w:shd w:val="clear" w:color="auto" w:fill="FFFFFF"/>
            <w:vAlign w:val="center"/>
          </w:tcPr>
          <w:p>
            <w:pPr>
              <w:jc w:val="center"/>
              <w:rPr>
                <w:rFonts w:asciiTheme="minorEastAsia" w:hAnsiTheme="minorEastAsia"/>
                <w:sz w:val="18"/>
                <w:szCs w:val="18"/>
              </w:rPr>
            </w:pPr>
          </w:p>
        </w:tc>
        <w:tc>
          <w:tcPr>
            <w:tcW w:w="1112" w:type="dxa"/>
            <w:shd w:val="clear" w:color="auto" w:fill="FFFFFF"/>
            <w:vAlign w:val="center"/>
          </w:tcPr>
          <w:p>
            <w:pPr>
              <w:jc w:val="center"/>
              <w:rPr>
                <w:rFonts w:asciiTheme="minorEastAsia" w:hAnsiTheme="minorEastAsia"/>
                <w:sz w:val="18"/>
                <w:szCs w:val="18"/>
              </w:rPr>
            </w:pPr>
          </w:p>
        </w:tc>
        <w:tc>
          <w:tcPr>
            <w:tcW w:w="1083" w:type="dxa"/>
            <w:shd w:val="clear" w:color="auto" w:fill="FFFFFF"/>
            <w:vAlign w:val="center"/>
          </w:tcPr>
          <w:p>
            <w:pPr>
              <w:jc w:val="center"/>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37" w:hRule="atLeast"/>
          <w:jc w:val="center"/>
        </w:trPr>
        <w:tc>
          <w:tcPr>
            <w:tcW w:w="784"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12</w:t>
            </w:r>
          </w:p>
        </w:tc>
        <w:tc>
          <w:tcPr>
            <w:tcW w:w="1079"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.107</w:t>
            </w:r>
          </w:p>
        </w:tc>
        <w:tc>
          <w:tcPr>
            <w:tcW w:w="1112"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.593</w:t>
            </w:r>
          </w:p>
        </w:tc>
        <w:tc>
          <w:tcPr>
            <w:tcW w:w="1081"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98.220</w:t>
            </w:r>
          </w:p>
        </w:tc>
        <w:tc>
          <w:tcPr>
            <w:tcW w:w="1080" w:type="dxa"/>
            <w:shd w:val="clear" w:color="auto" w:fill="FFFFFF"/>
            <w:vAlign w:val="center"/>
          </w:tcPr>
          <w:p>
            <w:pPr>
              <w:jc w:val="center"/>
              <w:rPr>
                <w:rFonts w:asciiTheme="minorEastAsia" w:hAnsiTheme="minorEastAsia"/>
                <w:sz w:val="18"/>
                <w:szCs w:val="18"/>
              </w:rPr>
            </w:pPr>
          </w:p>
        </w:tc>
        <w:tc>
          <w:tcPr>
            <w:tcW w:w="1112" w:type="dxa"/>
            <w:shd w:val="clear" w:color="auto" w:fill="FFFFFF"/>
            <w:vAlign w:val="center"/>
          </w:tcPr>
          <w:p>
            <w:pPr>
              <w:jc w:val="center"/>
              <w:rPr>
                <w:rFonts w:asciiTheme="minorEastAsia" w:hAnsiTheme="minorEastAsia"/>
                <w:sz w:val="18"/>
                <w:szCs w:val="18"/>
              </w:rPr>
            </w:pPr>
          </w:p>
        </w:tc>
        <w:tc>
          <w:tcPr>
            <w:tcW w:w="1083" w:type="dxa"/>
            <w:shd w:val="clear" w:color="auto" w:fill="FFFFFF"/>
            <w:vAlign w:val="center"/>
          </w:tcPr>
          <w:p>
            <w:pPr>
              <w:jc w:val="center"/>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37" w:hRule="atLeast"/>
          <w:jc w:val="center"/>
        </w:trPr>
        <w:tc>
          <w:tcPr>
            <w:tcW w:w="784"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13</w:t>
            </w:r>
          </w:p>
        </w:tc>
        <w:tc>
          <w:tcPr>
            <w:tcW w:w="1079"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.085</w:t>
            </w:r>
          </w:p>
        </w:tc>
        <w:tc>
          <w:tcPr>
            <w:tcW w:w="1112"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.474</w:t>
            </w:r>
          </w:p>
        </w:tc>
        <w:tc>
          <w:tcPr>
            <w:tcW w:w="1081"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98.694</w:t>
            </w:r>
          </w:p>
        </w:tc>
        <w:tc>
          <w:tcPr>
            <w:tcW w:w="1080" w:type="dxa"/>
            <w:shd w:val="clear" w:color="auto" w:fill="FFFFFF"/>
            <w:vAlign w:val="center"/>
          </w:tcPr>
          <w:p>
            <w:pPr>
              <w:jc w:val="center"/>
              <w:rPr>
                <w:rFonts w:asciiTheme="minorEastAsia" w:hAnsiTheme="minorEastAsia"/>
                <w:sz w:val="18"/>
                <w:szCs w:val="18"/>
              </w:rPr>
            </w:pPr>
          </w:p>
        </w:tc>
        <w:tc>
          <w:tcPr>
            <w:tcW w:w="1112" w:type="dxa"/>
            <w:shd w:val="clear" w:color="auto" w:fill="FFFFFF"/>
            <w:vAlign w:val="center"/>
          </w:tcPr>
          <w:p>
            <w:pPr>
              <w:jc w:val="center"/>
              <w:rPr>
                <w:rFonts w:asciiTheme="minorEastAsia" w:hAnsiTheme="minorEastAsia"/>
                <w:sz w:val="18"/>
                <w:szCs w:val="18"/>
              </w:rPr>
            </w:pPr>
          </w:p>
        </w:tc>
        <w:tc>
          <w:tcPr>
            <w:tcW w:w="1083" w:type="dxa"/>
            <w:shd w:val="clear" w:color="auto" w:fill="FFFFFF"/>
            <w:vAlign w:val="center"/>
          </w:tcPr>
          <w:p>
            <w:pPr>
              <w:jc w:val="center"/>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53" w:hRule="atLeast"/>
          <w:jc w:val="center"/>
        </w:trPr>
        <w:tc>
          <w:tcPr>
            <w:tcW w:w="784"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14</w:t>
            </w:r>
          </w:p>
        </w:tc>
        <w:tc>
          <w:tcPr>
            <w:tcW w:w="1079"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.076</w:t>
            </w:r>
          </w:p>
        </w:tc>
        <w:tc>
          <w:tcPr>
            <w:tcW w:w="1112"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.422</w:t>
            </w:r>
          </w:p>
        </w:tc>
        <w:tc>
          <w:tcPr>
            <w:tcW w:w="1081"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99.116</w:t>
            </w:r>
          </w:p>
        </w:tc>
        <w:tc>
          <w:tcPr>
            <w:tcW w:w="1080" w:type="dxa"/>
            <w:shd w:val="clear" w:color="auto" w:fill="FFFFFF"/>
            <w:vAlign w:val="center"/>
          </w:tcPr>
          <w:p>
            <w:pPr>
              <w:jc w:val="center"/>
              <w:rPr>
                <w:rFonts w:asciiTheme="minorEastAsia" w:hAnsiTheme="minorEastAsia"/>
                <w:sz w:val="18"/>
                <w:szCs w:val="18"/>
              </w:rPr>
            </w:pPr>
          </w:p>
        </w:tc>
        <w:tc>
          <w:tcPr>
            <w:tcW w:w="1112" w:type="dxa"/>
            <w:shd w:val="clear" w:color="auto" w:fill="FFFFFF"/>
            <w:vAlign w:val="center"/>
          </w:tcPr>
          <w:p>
            <w:pPr>
              <w:jc w:val="center"/>
              <w:rPr>
                <w:rFonts w:asciiTheme="minorEastAsia" w:hAnsiTheme="minorEastAsia"/>
                <w:sz w:val="18"/>
                <w:szCs w:val="18"/>
              </w:rPr>
            </w:pPr>
          </w:p>
        </w:tc>
        <w:tc>
          <w:tcPr>
            <w:tcW w:w="1083" w:type="dxa"/>
            <w:shd w:val="clear" w:color="auto" w:fill="FFFFFF"/>
            <w:vAlign w:val="center"/>
          </w:tcPr>
          <w:p>
            <w:pPr>
              <w:jc w:val="center"/>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37" w:hRule="atLeast"/>
          <w:jc w:val="center"/>
        </w:trPr>
        <w:tc>
          <w:tcPr>
            <w:tcW w:w="784"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15</w:t>
            </w:r>
          </w:p>
        </w:tc>
        <w:tc>
          <w:tcPr>
            <w:tcW w:w="1079"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.066</w:t>
            </w:r>
          </w:p>
        </w:tc>
        <w:tc>
          <w:tcPr>
            <w:tcW w:w="1112"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.368</w:t>
            </w:r>
          </w:p>
        </w:tc>
        <w:tc>
          <w:tcPr>
            <w:tcW w:w="1081"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99.484</w:t>
            </w:r>
          </w:p>
        </w:tc>
        <w:tc>
          <w:tcPr>
            <w:tcW w:w="1080" w:type="dxa"/>
            <w:shd w:val="clear" w:color="auto" w:fill="FFFFFF"/>
            <w:vAlign w:val="center"/>
          </w:tcPr>
          <w:p>
            <w:pPr>
              <w:jc w:val="center"/>
              <w:rPr>
                <w:rFonts w:asciiTheme="minorEastAsia" w:hAnsiTheme="minorEastAsia"/>
                <w:sz w:val="18"/>
                <w:szCs w:val="18"/>
              </w:rPr>
            </w:pPr>
          </w:p>
        </w:tc>
        <w:tc>
          <w:tcPr>
            <w:tcW w:w="1112" w:type="dxa"/>
            <w:shd w:val="clear" w:color="auto" w:fill="FFFFFF"/>
            <w:vAlign w:val="center"/>
          </w:tcPr>
          <w:p>
            <w:pPr>
              <w:jc w:val="center"/>
              <w:rPr>
                <w:rFonts w:asciiTheme="minorEastAsia" w:hAnsiTheme="minorEastAsia"/>
                <w:sz w:val="18"/>
                <w:szCs w:val="18"/>
              </w:rPr>
            </w:pPr>
          </w:p>
        </w:tc>
        <w:tc>
          <w:tcPr>
            <w:tcW w:w="1083" w:type="dxa"/>
            <w:shd w:val="clear" w:color="auto" w:fill="FFFFFF"/>
            <w:vAlign w:val="center"/>
          </w:tcPr>
          <w:p>
            <w:pPr>
              <w:jc w:val="center"/>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37" w:hRule="atLeast"/>
          <w:jc w:val="center"/>
        </w:trPr>
        <w:tc>
          <w:tcPr>
            <w:tcW w:w="784"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16</w:t>
            </w:r>
          </w:p>
        </w:tc>
        <w:tc>
          <w:tcPr>
            <w:tcW w:w="1079"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.053</w:t>
            </w:r>
          </w:p>
        </w:tc>
        <w:tc>
          <w:tcPr>
            <w:tcW w:w="1112"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.295</w:t>
            </w:r>
          </w:p>
        </w:tc>
        <w:tc>
          <w:tcPr>
            <w:tcW w:w="1081"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99.780</w:t>
            </w:r>
          </w:p>
        </w:tc>
        <w:tc>
          <w:tcPr>
            <w:tcW w:w="1080" w:type="dxa"/>
            <w:shd w:val="clear" w:color="auto" w:fill="FFFFFF"/>
            <w:vAlign w:val="center"/>
          </w:tcPr>
          <w:p>
            <w:pPr>
              <w:jc w:val="center"/>
              <w:rPr>
                <w:rFonts w:asciiTheme="minorEastAsia" w:hAnsiTheme="minorEastAsia"/>
                <w:sz w:val="18"/>
                <w:szCs w:val="18"/>
              </w:rPr>
            </w:pPr>
          </w:p>
        </w:tc>
        <w:tc>
          <w:tcPr>
            <w:tcW w:w="1112" w:type="dxa"/>
            <w:shd w:val="clear" w:color="auto" w:fill="FFFFFF"/>
            <w:vAlign w:val="center"/>
          </w:tcPr>
          <w:p>
            <w:pPr>
              <w:jc w:val="center"/>
              <w:rPr>
                <w:rFonts w:asciiTheme="minorEastAsia" w:hAnsiTheme="minorEastAsia"/>
                <w:sz w:val="18"/>
                <w:szCs w:val="18"/>
              </w:rPr>
            </w:pPr>
          </w:p>
        </w:tc>
        <w:tc>
          <w:tcPr>
            <w:tcW w:w="1083" w:type="dxa"/>
            <w:shd w:val="clear" w:color="auto" w:fill="FFFFFF"/>
            <w:vAlign w:val="center"/>
          </w:tcPr>
          <w:p>
            <w:pPr>
              <w:jc w:val="center"/>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53" w:hRule="atLeast"/>
          <w:jc w:val="center"/>
        </w:trPr>
        <w:tc>
          <w:tcPr>
            <w:tcW w:w="784"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17</w:t>
            </w:r>
          </w:p>
        </w:tc>
        <w:tc>
          <w:tcPr>
            <w:tcW w:w="1079"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.024</w:t>
            </w:r>
          </w:p>
        </w:tc>
        <w:tc>
          <w:tcPr>
            <w:tcW w:w="1112"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.131</w:t>
            </w:r>
          </w:p>
        </w:tc>
        <w:tc>
          <w:tcPr>
            <w:tcW w:w="1081"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99.911</w:t>
            </w:r>
          </w:p>
        </w:tc>
        <w:tc>
          <w:tcPr>
            <w:tcW w:w="1080" w:type="dxa"/>
            <w:shd w:val="clear" w:color="auto" w:fill="FFFFFF"/>
            <w:vAlign w:val="center"/>
          </w:tcPr>
          <w:p>
            <w:pPr>
              <w:jc w:val="center"/>
              <w:rPr>
                <w:rFonts w:asciiTheme="minorEastAsia" w:hAnsiTheme="minorEastAsia"/>
                <w:sz w:val="18"/>
                <w:szCs w:val="18"/>
              </w:rPr>
            </w:pPr>
          </w:p>
        </w:tc>
        <w:tc>
          <w:tcPr>
            <w:tcW w:w="1112" w:type="dxa"/>
            <w:shd w:val="clear" w:color="auto" w:fill="FFFFFF"/>
            <w:vAlign w:val="center"/>
          </w:tcPr>
          <w:p>
            <w:pPr>
              <w:jc w:val="center"/>
              <w:rPr>
                <w:rFonts w:asciiTheme="minorEastAsia" w:hAnsiTheme="minorEastAsia"/>
                <w:sz w:val="18"/>
                <w:szCs w:val="18"/>
              </w:rPr>
            </w:pPr>
          </w:p>
        </w:tc>
        <w:tc>
          <w:tcPr>
            <w:tcW w:w="1083" w:type="dxa"/>
            <w:shd w:val="clear" w:color="auto" w:fill="FFFFFF"/>
            <w:vAlign w:val="center"/>
          </w:tcPr>
          <w:p>
            <w:pPr>
              <w:jc w:val="center"/>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21" w:hRule="atLeast"/>
          <w:jc w:val="center"/>
        </w:trPr>
        <w:tc>
          <w:tcPr>
            <w:tcW w:w="784"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18</w:t>
            </w:r>
          </w:p>
        </w:tc>
        <w:tc>
          <w:tcPr>
            <w:tcW w:w="1079"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.016</w:t>
            </w:r>
          </w:p>
        </w:tc>
        <w:tc>
          <w:tcPr>
            <w:tcW w:w="1112"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.089</w:t>
            </w:r>
          </w:p>
        </w:tc>
        <w:tc>
          <w:tcPr>
            <w:tcW w:w="1081" w:type="dxa"/>
            <w:shd w:val="clear" w:color="auto" w:fill="FFFFFF"/>
            <w:vAlign w:val="center"/>
          </w:tcPr>
          <w:p>
            <w:pPr>
              <w:jc w:val="center"/>
              <w:rPr>
                <w:rFonts w:asciiTheme="minorEastAsia" w:hAnsiTheme="minorEastAsia"/>
                <w:sz w:val="18"/>
                <w:szCs w:val="18"/>
              </w:rPr>
            </w:pPr>
            <w:r>
              <w:rPr>
                <w:rFonts w:asciiTheme="minorEastAsia" w:hAnsiTheme="minorEastAsia"/>
                <w:sz w:val="18"/>
                <w:szCs w:val="18"/>
              </w:rPr>
              <w:t>100.000</w:t>
            </w:r>
          </w:p>
        </w:tc>
        <w:tc>
          <w:tcPr>
            <w:tcW w:w="1080" w:type="dxa"/>
            <w:shd w:val="clear" w:color="auto" w:fill="FFFFFF"/>
            <w:vAlign w:val="center"/>
          </w:tcPr>
          <w:p>
            <w:pPr>
              <w:jc w:val="center"/>
              <w:rPr>
                <w:rFonts w:asciiTheme="minorEastAsia" w:hAnsiTheme="minorEastAsia"/>
                <w:sz w:val="18"/>
                <w:szCs w:val="18"/>
              </w:rPr>
            </w:pPr>
          </w:p>
        </w:tc>
        <w:tc>
          <w:tcPr>
            <w:tcW w:w="1112" w:type="dxa"/>
            <w:shd w:val="clear" w:color="auto" w:fill="FFFFFF"/>
            <w:vAlign w:val="center"/>
          </w:tcPr>
          <w:p>
            <w:pPr>
              <w:jc w:val="center"/>
              <w:rPr>
                <w:rFonts w:asciiTheme="minorEastAsia" w:hAnsiTheme="minorEastAsia"/>
                <w:sz w:val="18"/>
                <w:szCs w:val="18"/>
              </w:rPr>
            </w:pPr>
          </w:p>
        </w:tc>
        <w:tc>
          <w:tcPr>
            <w:tcW w:w="1083" w:type="dxa"/>
            <w:shd w:val="clear" w:color="auto" w:fill="FFFFFF"/>
            <w:vAlign w:val="center"/>
          </w:tcPr>
          <w:p>
            <w:pPr>
              <w:jc w:val="center"/>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37" w:hRule="atLeast"/>
          <w:jc w:val="center"/>
        </w:trPr>
        <w:tc>
          <w:tcPr>
            <w:tcW w:w="7331" w:type="dxa"/>
            <w:gridSpan w:val="7"/>
            <w:shd w:val="clear" w:color="auto" w:fill="FFFFFF"/>
            <w:vAlign w:val="center"/>
          </w:tcPr>
          <w:p>
            <w:pPr>
              <w:jc w:val="center"/>
              <w:rPr>
                <w:rFonts w:asciiTheme="minorEastAsia" w:hAnsiTheme="minorEastAsia"/>
                <w:sz w:val="18"/>
                <w:szCs w:val="18"/>
              </w:rPr>
            </w:pPr>
            <w:r>
              <w:rPr>
                <w:rFonts w:hint="eastAsia" w:asciiTheme="minorEastAsia" w:hAnsiTheme="minorEastAsia"/>
                <w:sz w:val="18"/>
                <w:szCs w:val="18"/>
              </w:rPr>
              <w:t>提取方法：主成份分析。</w:t>
            </w:r>
          </w:p>
        </w:tc>
      </w:tr>
    </w:tbl>
    <w:p>
      <w:pPr>
        <w:pStyle w:val="40"/>
      </w:pPr>
      <w:r>
        <w:rPr>
          <w:rFonts w:hint="eastAsia"/>
        </w:rPr>
        <w:t>从上表可以看出，经过对因子载荷矩阵进行旋转，各变量的相关系数矩阵的特征值有两个大于1，故提取两个主成分，它们共解释了原始变量</w:t>
      </w:r>
      <w:r>
        <w:t>78.560</w:t>
      </w:r>
      <w:r>
        <w:rPr>
          <w:rFonts w:hint="eastAsia"/>
        </w:rPr>
        <w:t>%的信息。可见，这两个主成分能反映出原始数据所提供的主要特征信息。</w:t>
      </w:r>
    </w:p>
    <w:p>
      <w:pPr>
        <w:pStyle w:val="33"/>
      </w:pPr>
      <w:bookmarkStart w:id="371" w:name="_Toc457897079"/>
      <w:bookmarkStart w:id="372" w:name="_Toc469038442"/>
      <w:r>
        <w:t>4</w:t>
      </w:r>
      <w:r>
        <w:rPr>
          <w:rFonts w:hint="eastAsia"/>
        </w:rPr>
        <w:t>.主成分碎石图</w:t>
      </w:r>
      <w:bookmarkEnd w:id="371"/>
      <w:bookmarkEnd w:id="372"/>
      <w:r>
        <w:tab/>
      </w:r>
    </w:p>
    <w:p>
      <w:pPr>
        <w:pStyle w:val="40"/>
      </w:pPr>
      <w:r>
        <w:rPr>
          <w:rFonts w:hint="eastAsia"/>
        </w:rPr>
        <w:t>下图为主成分碎石图，该图中横坐标为因子序号，纵坐标为各因子对应的特征值。在图中根据因子序号和对应特征值描点，然后用直线相连，即为碎石图。从碎石图中可以比较直观地看出因子的重要程度。前两个因子之间连线的坡度比其他点间的连线要陡得多，说明前两个因子是主要因子，结果与上表的分析结果相一致。</w:t>
      </w:r>
    </w:p>
    <w:p>
      <w:pPr>
        <w:autoSpaceDE w:val="0"/>
        <w:autoSpaceDN w:val="0"/>
        <w:adjustRightInd w:val="0"/>
        <w:spacing w:before="156" w:after="156"/>
        <w:jc w:val="center"/>
        <w:rPr>
          <w:rFonts w:ascii="Times New Roman" w:hAnsi="Times New Roman" w:cs="Times New Roman"/>
          <w:kern w:val="0"/>
          <w:sz w:val="24"/>
          <w:szCs w:val="24"/>
        </w:rPr>
      </w:pPr>
      <w:r>
        <w:rPr>
          <w:rFonts w:ascii="Times New Roman" w:hAnsi="Times New Roman" w:cs="Times New Roman"/>
          <w:kern w:val="0"/>
          <w:sz w:val="24"/>
          <w:szCs w:val="24"/>
        </w:rPr>
        <w:drawing>
          <wp:inline distT="0" distB="0" distL="0" distR="0">
            <wp:extent cx="4029075" cy="32258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4032171" cy="3228416"/>
                    </a:xfrm>
                    <a:prstGeom prst="rect">
                      <a:avLst/>
                    </a:prstGeom>
                    <a:noFill/>
                    <a:ln>
                      <a:noFill/>
                    </a:ln>
                  </pic:spPr>
                </pic:pic>
              </a:graphicData>
            </a:graphic>
          </wp:inline>
        </w:drawing>
      </w:r>
    </w:p>
    <w:p>
      <w:pPr>
        <w:pStyle w:val="8"/>
        <w:jc w:val="center"/>
        <w:rPr>
          <w:rFonts w:asciiTheme="minorEastAsia" w:hAnsiTheme="minorEastAsia" w:eastAsiaTheme="minorEastAsia"/>
          <w:sz w:val="18"/>
          <w:szCs w:val="18"/>
        </w:rPr>
      </w:pPr>
      <w:bookmarkStart w:id="373" w:name="_Toc470887014"/>
      <w:bookmarkStart w:id="374" w:name="_Toc462140482"/>
      <w:bookmarkStart w:id="375" w:name="_Toc459802884"/>
      <w:r>
        <w:rPr>
          <w:rFonts w:hint="eastAsia" w:asciiTheme="minorEastAsia" w:hAnsiTheme="minorEastAsia" w:eastAsiaTheme="minorEastAsia"/>
          <w:sz w:val="18"/>
          <w:szCs w:val="18"/>
        </w:rPr>
        <w:t>图6-</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图6-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18</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碎石图</w:t>
      </w:r>
      <w:bookmarkEnd w:id="373"/>
      <w:bookmarkEnd w:id="374"/>
      <w:bookmarkEnd w:id="375"/>
    </w:p>
    <w:p>
      <w:pPr>
        <w:pStyle w:val="40"/>
      </w:pPr>
      <w:r>
        <w:rPr>
          <w:rFonts w:hint="eastAsia"/>
        </w:rPr>
        <w:t>由两个主成分可得到综合满意度得分模型：</w:t>
      </w:r>
    </w:p>
    <w:p>
      <w:pPr>
        <w:widowControl/>
        <w:spacing w:before="93" w:beforeLines="30" w:after="156" w:afterLines="50" w:line="360" w:lineRule="auto"/>
        <w:ind w:firstLine="480" w:firstLineChars="200"/>
        <w:rPr>
          <w:rFonts w:cs="宋体" w:asciiTheme="minorEastAsia" w:hAnsiTheme="minorEastAsia"/>
          <w:color w:val="000000"/>
          <w:sz w:val="24"/>
          <w:szCs w:val="24"/>
        </w:rPr>
      </w:pPr>
    </w:p>
    <w:p>
      <w:pPr>
        <w:autoSpaceDE w:val="0"/>
        <w:autoSpaceDN w:val="0"/>
        <w:adjustRightInd w:val="0"/>
        <w:spacing w:before="156" w:after="156"/>
        <w:jc w:val="center"/>
        <w:rPr>
          <w:rFonts w:ascii="Times New Roman" w:hAnsi="Times New Roman" w:cs="Times New Roman"/>
          <w:kern w:val="0"/>
          <w:sz w:val="24"/>
          <w:szCs w:val="24"/>
        </w:rPr>
      </w:pPr>
      <w:r>
        <w:drawing>
          <wp:inline distT="0" distB="0" distL="0" distR="0">
            <wp:extent cx="5562600" cy="3648075"/>
            <wp:effectExtent l="0" t="0" r="0" b="9525"/>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pPr>
        <w:pStyle w:val="8"/>
        <w:jc w:val="center"/>
        <w:rPr>
          <w:rFonts w:asciiTheme="minorEastAsia" w:hAnsiTheme="minorEastAsia" w:eastAsiaTheme="minorEastAsia"/>
          <w:sz w:val="18"/>
          <w:szCs w:val="18"/>
        </w:rPr>
      </w:pPr>
      <w:bookmarkStart w:id="376" w:name="_Toc459802885"/>
      <w:bookmarkStart w:id="377" w:name="_Toc470887015"/>
      <w:bookmarkStart w:id="378" w:name="_Toc457897124"/>
      <w:bookmarkStart w:id="379" w:name="_Toc462140483"/>
      <w:r>
        <w:rPr>
          <w:rFonts w:hint="eastAsia" w:asciiTheme="minorEastAsia" w:hAnsiTheme="minorEastAsia" w:eastAsiaTheme="minorEastAsia"/>
          <w:sz w:val="18"/>
          <w:szCs w:val="18"/>
        </w:rPr>
        <w:t>图6-</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图6-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19</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各指标重要性</w:t>
      </w:r>
      <w:bookmarkEnd w:id="376"/>
      <w:bookmarkEnd w:id="377"/>
      <w:bookmarkEnd w:id="378"/>
      <w:bookmarkEnd w:id="379"/>
    </w:p>
    <w:p>
      <w:pPr>
        <w:pStyle w:val="40"/>
      </w:pPr>
      <w:r>
        <w:rPr>
          <w:rFonts w:hint="eastAsia"/>
        </w:rPr>
        <w:t>通过各个指标重要性比较（为保证小数点后更多数位的精确度，这里其权重都以百分比保留两位小数形式表示，以下权重问题都将用此方法来处理），分析得出适应能力、吃苦耐劳精神、团队合作精神、组织协调能力、语言表达能力等</w:t>
      </w:r>
      <w:r>
        <w:t>毕业生自身的能力</w:t>
      </w:r>
      <w:r>
        <w:rPr>
          <w:rFonts w:hint="eastAsia"/>
        </w:rPr>
        <w:t>的重要性都低于</w:t>
      </w:r>
      <w:r>
        <w:t>整体指标的</w:t>
      </w:r>
      <w:r>
        <w:rPr>
          <w:rFonts w:hint="eastAsia"/>
        </w:rPr>
        <w:t>平均重要性，而学校</w:t>
      </w:r>
      <w:r>
        <w:t>的人才培养、就业</w:t>
      </w:r>
      <w:r>
        <w:rPr>
          <w:rFonts w:hint="eastAsia"/>
        </w:rPr>
        <w:t>网站</w:t>
      </w:r>
      <w:r>
        <w:t>建设及信息发布、档案管理及传递、招聘场地</w:t>
      </w:r>
      <w:r>
        <w:rPr>
          <w:rFonts w:hint="eastAsia"/>
        </w:rPr>
        <w:t>安排对接</w:t>
      </w:r>
      <w:r>
        <w:t>、</w:t>
      </w:r>
      <w:r>
        <w:rPr>
          <w:rFonts w:hint="eastAsia"/>
        </w:rPr>
        <w:t>个性化</w:t>
      </w:r>
      <w:r>
        <w:t>服务</w:t>
      </w:r>
      <w:r>
        <w:rPr>
          <w:rFonts w:hint="eastAsia"/>
        </w:rPr>
        <w:t>与</w:t>
      </w:r>
      <w:r>
        <w:t>毕业生的敬业精神与职业道德和自主学习能力</w:t>
      </w:r>
      <w:r>
        <w:rPr>
          <w:rFonts w:hint="eastAsia"/>
        </w:rPr>
        <w:t>高于整体</w:t>
      </w:r>
      <w:r>
        <w:t>指标的</w:t>
      </w:r>
      <w:r>
        <w:rPr>
          <w:rFonts w:hint="eastAsia"/>
        </w:rPr>
        <w:t>平均重要性，</w:t>
      </w:r>
      <w:r>
        <w:t>可以看出</w:t>
      </w:r>
      <w:r>
        <w:rPr>
          <w:rFonts w:hint="eastAsia"/>
        </w:rPr>
        <w:t>用人单位</w:t>
      </w:r>
      <w:r>
        <w:t>比较看重学校的各项工作和</w:t>
      </w:r>
      <w:r>
        <w:rPr>
          <w:rFonts w:hint="eastAsia"/>
        </w:rPr>
        <w:t>学生的</w:t>
      </w:r>
      <w:r>
        <w:t>职业道德和自主学习能力</w:t>
      </w:r>
      <w:r>
        <w:rPr>
          <w:rFonts w:hint="eastAsia"/>
        </w:rPr>
        <w:t>。</w:t>
      </w:r>
    </w:p>
    <w:p>
      <w:pPr>
        <w:pStyle w:val="40"/>
      </w:pPr>
      <w:r>
        <w:rPr>
          <w:rFonts w:hint="eastAsia"/>
        </w:rPr>
        <w:t xml:space="preserve">将综合得分模型中指标所对应的系数归一后,即得到下列模型的表达式: </w:t>
      </w:r>
    </w:p>
    <w:p>
      <w:pPr>
        <w:widowControl/>
        <w:spacing w:before="93" w:beforeLines="30" w:after="156" w:afterLines="50" w:line="360" w:lineRule="auto"/>
        <w:ind w:firstLine="480" w:firstLineChars="200"/>
        <w:rPr>
          <w:rFonts w:cs="宋体" w:asciiTheme="minorEastAsia" w:hAnsiTheme="minorEastAsia"/>
          <w:color w:val="000000"/>
          <w:kern w:val="0"/>
          <w:sz w:val="24"/>
          <w:szCs w:val="24"/>
        </w:rPr>
      </w:pPr>
    </w:p>
    <w:p>
      <w:pPr>
        <w:pStyle w:val="40"/>
      </w:pPr>
      <w:r>
        <w:rPr>
          <w:rFonts w:hint="eastAsia"/>
        </w:rPr>
        <w:t>计算出用人单位对毕业生以及毕业学院的综合满意度，换算成百分制形式，最后得到用人单位对毕业生以及毕业学校的综合满意度为</w:t>
      </w:r>
      <w:r>
        <w:t>75.32</w:t>
      </w:r>
      <w:r>
        <w:rPr>
          <w:rFonts w:hint="eastAsia"/>
        </w:rPr>
        <w:t>分，分值较高。</w:t>
      </w:r>
    </w:p>
    <w:p>
      <w:pPr>
        <w:pStyle w:val="40"/>
      </w:pPr>
      <w:r>
        <w:rPr>
          <w:rFonts w:hint="eastAsia"/>
        </w:rPr>
        <w:t>以十八项指标的满意度平均值</w:t>
      </w:r>
      <w:r>
        <w:t>3.76</w:t>
      </w:r>
      <w:r>
        <w:rPr>
          <w:rFonts w:hint="eastAsia"/>
        </w:rPr>
        <w:t>作为横坐标轴，重要性的平均值</w:t>
      </w:r>
      <w:r>
        <w:t>0.056</w:t>
      </w:r>
      <w:r>
        <w:rPr>
          <w:rFonts w:hint="eastAsia"/>
        </w:rPr>
        <w:t>作为纵坐标轴，如图6</w:t>
      </w:r>
      <w:r>
        <w:t>-20</w:t>
      </w:r>
      <w:r>
        <w:rPr>
          <w:rFonts w:hint="eastAsia"/>
        </w:rPr>
        <w:t>所示：</w:t>
      </w:r>
    </w:p>
    <w:p>
      <w:pPr>
        <w:pStyle w:val="8"/>
        <w:jc w:val="center"/>
      </w:pPr>
      <w:r>
        <w:drawing>
          <wp:inline distT="0" distB="0" distL="0" distR="0">
            <wp:extent cx="5274310" cy="4563110"/>
            <wp:effectExtent l="0" t="0" r="2540" b="8890"/>
            <wp:docPr id="65" name="图表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bookmarkStart w:id="380" w:name="_Toc459802886"/>
      <w:bookmarkStart w:id="381" w:name="_Toc462140484"/>
    </w:p>
    <w:p>
      <w:pPr>
        <w:pStyle w:val="8"/>
        <w:jc w:val="center"/>
        <w:rPr>
          <w:rFonts w:asciiTheme="minorEastAsia" w:hAnsiTheme="minorEastAsia" w:eastAsiaTheme="minorEastAsia"/>
          <w:sz w:val="18"/>
          <w:szCs w:val="18"/>
        </w:rPr>
      </w:pPr>
      <w:bookmarkStart w:id="382" w:name="_Toc470887016"/>
      <w:r>
        <w:rPr>
          <w:rFonts w:hint="eastAsia" w:asciiTheme="minorEastAsia" w:hAnsiTheme="minorEastAsia" w:eastAsiaTheme="minorEastAsia"/>
          <w:sz w:val="18"/>
          <w:szCs w:val="18"/>
        </w:rPr>
        <w:t>图6-</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图6-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20</w:t>
      </w:r>
      <w:r>
        <w:rPr>
          <w:rFonts w:asciiTheme="minorEastAsia" w:hAnsiTheme="minorEastAsia" w:eastAsiaTheme="minorEastAsia"/>
          <w:sz w:val="18"/>
          <w:szCs w:val="18"/>
        </w:rPr>
        <w:fldChar w:fldCharType="end"/>
      </w:r>
      <w:r>
        <w:rPr>
          <w:rFonts w:hint="eastAsia" w:asciiTheme="minorEastAsia" w:hAnsiTheme="minorEastAsia" w:eastAsiaTheme="minorEastAsia"/>
          <w:sz w:val="18"/>
          <w:szCs w:val="18"/>
        </w:rPr>
        <w:t xml:space="preserve"> 指标满意度和重要性比较</w:t>
      </w:r>
      <w:bookmarkEnd w:id="380"/>
      <w:bookmarkEnd w:id="381"/>
      <w:bookmarkEnd w:id="382"/>
    </w:p>
    <w:p>
      <w:pPr>
        <w:pStyle w:val="40"/>
        <w:rPr>
          <w:color w:val="FF0000"/>
        </w:rPr>
      </w:pPr>
      <w:r>
        <w:rPr>
          <w:rFonts w:hint="eastAsia"/>
        </w:rPr>
        <w:t>第一象限为重要性高满意度高（即</w:t>
      </w:r>
      <w:r>
        <w:t>优势</w:t>
      </w:r>
      <w:r>
        <w:rPr>
          <w:rFonts w:hint="eastAsia"/>
        </w:rPr>
        <w:t>区域</w:t>
      </w:r>
      <w:r>
        <w:t>）</w:t>
      </w:r>
      <w:r>
        <w:rPr>
          <w:rFonts w:hint="eastAsia"/>
        </w:rPr>
        <w:t>，包含档案管理</w:t>
      </w:r>
      <w:r>
        <w:t>及传递、人才培养、招聘场地安排对接、就业网站建设及信息服务和</w:t>
      </w:r>
      <w:r>
        <w:rPr>
          <w:rFonts w:hint="eastAsia"/>
        </w:rPr>
        <w:t>敬业精神</w:t>
      </w:r>
      <w:r>
        <w:t>与职业道德</w:t>
      </w:r>
      <w:r>
        <w:rPr>
          <w:rFonts w:hint="eastAsia"/>
        </w:rPr>
        <w:t>共5项指标</w:t>
      </w:r>
      <w:r>
        <w:t>，前四项指标均为学校就业工作</w:t>
      </w:r>
      <w:r>
        <w:rPr>
          <w:rFonts w:hint="eastAsia"/>
        </w:rPr>
        <w:t>，</w:t>
      </w:r>
      <w:r>
        <w:t>后一项为毕业生自身素质，均属于满意度较高指标，</w:t>
      </w:r>
      <w:r>
        <w:rPr>
          <w:rFonts w:hint="eastAsia"/>
        </w:rPr>
        <w:t>说明</w:t>
      </w:r>
      <w:r>
        <w:t>学校的就业工作和毕业生的敬业精神与职业道德</w:t>
      </w:r>
      <w:r>
        <w:rPr>
          <w:rFonts w:hint="eastAsia"/>
        </w:rPr>
        <w:t>在一定</w:t>
      </w:r>
      <w:r>
        <w:t>程度上得到了用人单位的</w:t>
      </w:r>
      <w:r>
        <w:rPr>
          <w:rFonts w:hint="eastAsia"/>
        </w:rPr>
        <w:t>认可</w:t>
      </w:r>
      <w:r>
        <w:t>；</w:t>
      </w:r>
      <w:r>
        <w:rPr>
          <w:rFonts w:hint="eastAsia"/>
        </w:rPr>
        <w:t>第二象限为重要性低满意度高（挑战</w:t>
      </w:r>
      <w:r>
        <w:t>区域）</w:t>
      </w:r>
      <w:r>
        <w:rPr>
          <w:rFonts w:hint="eastAsia"/>
        </w:rPr>
        <w:t>，包含毕业生的适应能力</w:t>
      </w:r>
      <w:r>
        <w:t>、团队合作精神</w:t>
      </w:r>
      <w:r>
        <w:rPr>
          <w:rFonts w:hint="eastAsia"/>
        </w:rPr>
        <w:t>、语言表达能力、</w:t>
      </w:r>
      <w:r>
        <w:t>专业知识与技能</w:t>
      </w:r>
      <w:r>
        <w:rPr>
          <w:rFonts w:hint="eastAsia"/>
        </w:rPr>
        <w:t>和创新能力，相较而言</w:t>
      </w:r>
      <w:r>
        <w:t>，</w:t>
      </w:r>
      <w:r>
        <w:rPr>
          <w:rFonts w:hint="eastAsia"/>
        </w:rPr>
        <w:t>用人单位认为</w:t>
      </w:r>
      <w:r>
        <w:t>这几项工作</w:t>
      </w:r>
      <w:r>
        <w:rPr>
          <w:rFonts w:hint="eastAsia"/>
        </w:rPr>
        <w:t>的</w:t>
      </w:r>
      <w:r>
        <w:t>重要性较</w:t>
      </w:r>
      <w:r>
        <w:rPr>
          <w:rFonts w:hint="eastAsia"/>
        </w:rPr>
        <w:t>低，</w:t>
      </w:r>
      <w:r>
        <w:t>但是满意度较</w:t>
      </w:r>
      <w:r>
        <w:rPr>
          <w:rFonts w:hint="eastAsia"/>
        </w:rPr>
        <w:t>高</w:t>
      </w:r>
      <w:r>
        <w:t>，</w:t>
      </w:r>
      <w:r>
        <w:rPr>
          <w:rFonts w:hint="eastAsia"/>
        </w:rPr>
        <w:t>说明</w:t>
      </w:r>
      <w:r>
        <w:t>毕业生的</w:t>
      </w:r>
      <w:r>
        <w:rPr>
          <w:rFonts w:hint="eastAsia"/>
        </w:rPr>
        <w:t>这几项素质</w:t>
      </w:r>
      <w:r>
        <w:t>与能力水平较高</w:t>
      </w:r>
      <w:r>
        <w:rPr>
          <w:rFonts w:hint="eastAsia"/>
        </w:rPr>
        <w:t>，</w:t>
      </w:r>
      <w:r>
        <w:t>创新能力在这个区域</w:t>
      </w:r>
      <w:r>
        <w:rPr>
          <w:rFonts w:hint="eastAsia"/>
        </w:rPr>
        <w:t>满意度</w:t>
      </w:r>
      <w:r>
        <w:t>最低</w:t>
      </w:r>
      <w:r>
        <w:rPr>
          <w:rFonts w:hint="eastAsia"/>
        </w:rPr>
        <w:t>；第三象限为重要性低满意度低（劣势区域</w:t>
      </w:r>
      <w:r>
        <w:t>）</w:t>
      </w:r>
      <w:r>
        <w:rPr>
          <w:rFonts w:hint="eastAsia"/>
        </w:rPr>
        <w:t>，包含</w:t>
      </w:r>
      <w:r>
        <w:t>灵活应变能力、组织协调能力、</w:t>
      </w:r>
      <w:r>
        <w:rPr>
          <w:rFonts w:hint="eastAsia"/>
        </w:rPr>
        <w:t>执行力</w:t>
      </w:r>
      <w:r>
        <w:t>、</w:t>
      </w:r>
      <w:r>
        <w:rPr>
          <w:rFonts w:hint="eastAsia"/>
        </w:rPr>
        <w:t>吃苦耐劳精神、</w:t>
      </w:r>
      <w:r>
        <w:t>抗压抗挫能力和</w:t>
      </w:r>
      <w:r>
        <w:rPr>
          <w:rFonts w:hint="eastAsia"/>
        </w:rPr>
        <w:t>组织学生</w:t>
      </w:r>
      <w:r>
        <w:t>参加招聘会</w:t>
      </w:r>
      <w:r>
        <w:rPr>
          <w:rFonts w:hint="eastAsia"/>
        </w:rPr>
        <w:t>，相对来说</w:t>
      </w:r>
      <w:r>
        <w:t>，这几项指标的满意度较低，并且重要性也相比其他指标较低，</w:t>
      </w:r>
      <w:r>
        <w:rPr>
          <w:rFonts w:hint="eastAsia"/>
        </w:rPr>
        <w:t>提升</w:t>
      </w:r>
      <w:r>
        <w:t>满意度的同</w:t>
      </w:r>
      <w:r>
        <w:rPr>
          <w:rFonts w:hint="eastAsia"/>
        </w:rPr>
        <w:t>时</w:t>
      </w:r>
      <w:r>
        <w:t>，要凸显毕业生自身能力</w:t>
      </w:r>
      <w:r>
        <w:rPr>
          <w:rFonts w:hint="eastAsia"/>
        </w:rPr>
        <w:t>水平并且注重</w:t>
      </w:r>
      <w:r>
        <w:t>组织学生参加招聘会活动，做到实际</w:t>
      </w:r>
      <w:r>
        <w:rPr>
          <w:rFonts w:hint="eastAsia"/>
        </w:rPr>
        <w:t>、</w:t>
      </w:r>
      <w:r>
        <w:t>有效</w:t>
      </w:r>
      <w:r>
        <w:rPr>
          <w:rFonts w:hint="eastAsia"/>
        </w:rPr>
        <w:t>，才能</w:t>
      </w:r>
      <w:r>
        <w:t>实现毕业生求职和用人单位招聘的双赢</w:t>
      </w:r>
      <w:r>
        <w:rPr>
          <w:rFonts w:hint="eastAsia"/>
        </w:rPr>
        <w:t>；第四象限为重要性高满意度低（挑战区域</w:t>
      </w:r>
      <w:r>
        <w:t>）</w:t>
      </w:r>
      <w:r>
        <w:rPr>
          <w:rFonts w:hint="eastAsia"/>
        </w:rPr>
        <w:t>，其中的</w:t>
      </w:r>
      <w:r>
        <w:t>指标有</w:t>
      </w:r>
      <w:r>
        <w:rPr>
          <w:rFonts w:hint="eastAsia"/>
        </w:rPr>
        <w:t>毕业生</w:t>
      </w:r>
      <w:r>
        <w:t>的自主学习能力</w:t>
      </w:r>
      <w:r>
        <w:rPr>
          <w:rFonts w:hint="eastAsia"/>
        </w:rPr>
        <w:t>和</w:t>
      </w:r>
      <w:r>
        <w:t>学校的就业工作指标之一招聘会的个性化服务，</w:t>
      </w:r>
      <w:r>
        <w:rPr>
          <w:rFonts w:hint="eastAsia"/>
        </w:rPr>
        <w:t>用人单位</w:t>
      </w:r>
      <w:r>
        <w:t>认为这两项</w:t>
      </w:r>
      <w:r>
        <w:rPr>
          <w:rFonts w:hint="eastAsia"/>
        </w:rPr>
        <w:t>的</w:t>
      </w:r>
      <w:r>
        <w:t>重要性较高，但是满意度</w:t>
      </w:r>
      <w:r>
        <w:rPr>
          <w:rFonts w:hint="eastAsia"/>
        </w:rPr>
        <w:t>较低</w:t>
      </w:r>
      <w:r>
        <w:t>，要提升</w:t>
      </w:r>
      <w:r>
        <w:rPr>
          <w:rFonts w:hint="eastAsia"/>
        </w:rPr>
        <w:t>用人单位</w:t>
      </w:r>
      <w:r>
        <w:t>的整体</w:t>
      </w:r>
      <w:r>
        <w:rPr>
          <w:rFonts w:hint="eastAsia"/>
        </w:rPr>
        <w:t>满意度</w:t>
      </w:r>
      <w:r>
        <w:t>，</w:t>
      </w:r>
      <w:r>
        <w:rPr>
          <w:rFonts w:hint="eastAsia"/>
        </w:rPr>
        <w:t>须</w:t>
      </w:r>
      <w:r>
        <w:t>从这个区域为机会点，强化学生自主学习能力，在就业</w:t>
      </w:r>
      <w:r>
        <w:rPr>
          <w:rFonts w:hint="eastAsia"/>
        </w:rPr>
        <w:t>工作</w:t>
      </w:r>
      <w:r>
        <w:t>的个性化服务</w:t>
      </w:r>
      <w:r>
        <w:rPr>
          <w:rFonts w:hint="eastAsia"/>
        </w:rPr>
        <w:t>下功夫</w:t>
      </w:r>
      <w:r>
        <w:t>。</w:t>
      </w:r>
    </w:p>
    <w:p>
      <w:pPr>
        <w:pStyle w:val="25"/>
      </w:pPr>
      <w:bookmarkStart w:id="383" w:name="_Toc469038443"/>
      <w:bookmarkStart w:id="384" w:name="_Toc471310999"/>
      <w:r>
        <w:rPr>
          <w:rFonts w:hint="eastAsia"/>
        </w:rPr>
        <w:t>七</w:t>
      </w:r>
      <w:r>
        <w:t>、</w:t>
      </w:r>
      <w:r>
        <w:rPr>
          <w:rFonts w:hint="eastAsia"/>
        </w:rPr>
        <w:t>教育教学</w:t>
      </w:r>
      <w:r>
        <w:t>反馈</w:t>
      </w:r>
      <w:bookmarkEnd w:id="383"/>
      <w:bookmarkEnd w:id="384"/>
    </w:p>
    <w:p>
      <w:pPr>
        <w:pStyle w:val="40"/>
      </w:pPr>
      <w:r>
        <w:t>2016</w:t>
      </w:r>
      <w:r>
        <w:rPr>
          <w:rFonts w:hint="eastAsia"/>
        </w:rPr>
        <w:t>届湖南商学院毕业生就业质量报告整体数据</w:t>
      </w:r>
      <w:r>
        <w:t>内容已基本结束</w:t>
      </w:r>
      <w:r>
        <w:rPr>
          <w:rFonts w:hint="eastAsia"/>
        </w:rPr>
        <w:t>，从上述</w:t>
      </w:r>
      <w:r>
        <w:t>数据</w:t>
      </w:r>
      <w:r>
        <w:rPr>
          <w:rFonts w:hint="eastAsia"/>
        </w:rPr>
        <w:t>内容中</w:t>
      </w:r>
      <w:r>
        <w:t>所表明的</w:t>
      </w:r>
      <w:r>
        <w:rPr>
          <w:rFonts w:hint="eastAsia"/>
        </w:rPr>
        <w:t>结果上看，湖南商</w:t>
      </w:r>
      <w:r>
        <w:t>学院</w:t>
      </w:r>
      <w:r>
        <w:rPr>
          <w:rFonts w:hint="eastAsia"/>
        </w:rPr>
        <w:t>的工作</w:t>
      </w:r>
      <w:r>
        <w:t>始终围绕着人才培养进行</w:t>
      </w:r>
      <w:r>
        <w:rPr>
          <w:rFonts w:hint="eastAsia"/>
        </w:rPr>
        <w:t>，各项</w:t>
      </w:r>
      <w:r>
        <w:t>工作</w:t>
      </w:r>
      <w:r>
        <w:rPr>
          <w:rFonts w:hint="eastAsia"/>
        </w:rPr>
        <w:t>的</w:t>
      </w:r>
      <w:r>
        <w:t>安排与推进也将学生就业质量放在了重要位置上</w:t>
      </w:r>
      <w:r>
        <w:rPr>
          <w:rFonts w:hint="eastAsia"/>
        </w:rPr>
        <w:t>，</w:t>
      </w:r>
      <w:r>
        <w:t>对就业质量情况中所反映的教育教学</w:t>
      </w:r>
      <w:r>
        <w:rPr>
          <w:rFonts w:hint="eastAsia"/>
        </w:rPr>
        <w:t>工作</w:t>
      </w:r>
      <w:r>
        <w:t>问题也极为重视。因此</w:t>
      </w:r>
      <w:r>
        <w:rPr>
          <w:rFonts w:hint="eastAsia"/>
        </w:rPr>
        <w:t>，在上一年</w:t>
      </w:r>
      <w:r>
        <w:t>的工作中，</w:t>
      </w:r>
      <w:r>
        <w:rPr>
          <w:rFonts w:hint="eastAsia"/>
        </w:rPr>
        <w:t>学校</w:t>
      </w:r>
      <w:r>
        <w:t>取得了巨大的</w:t>
      </w:r>
      <w:r>
        <w:rPr>
          <w:rFonts w:hint="eastAsia"/>
        </w:rPr>
        <w:t>突破</w:t>
      </w:r>
      <w:r>
        <w:t>，这些突破都体现在调研数据中</w:t>
      </w:r>
      <w:r>
        <w:rPr>
          <w:rFonts w:hint="eastAsia"/>
        </w:rPr>
        <w:t>。</w:t>
      </w:r>
    </w:p>
    <w:p>
      <w:pPr>
        <w:pStyle w:val="40"/>
      </w:pPr>
      <w:r>
        <w:rPr>
          <w:rFonts w:hint="eastAsia"/>
        </w:rPr>
        <w:t>高等教育</w:t>
      </w:r>
      <w:r>
        <w:t>是直接与社会工作挂钩的教育，因此，</w:t>
      </w:r>
      <w:r>
        <w:rPr>
          <w:rFonts w:hint="eastAsia"/>
        </w:rPr>
        <w:t>毕业生的</w:t>
      </w:r>
      <w:r>
        <w:t>就业质量</w:t>
      </w:r>
      <w:r>
        <w:rPr>
          <w:rFonts w:hint="eastAsia"/>
        </w:rPr>
        <w:t>是学校</w:t>
      </w:r>
      <w:r>
        <w:t>教育教学质量的现实反馈，</w:t>
      </w:r>
      <w:r>
        <w:rPr>
          <w:rFonts w:hint="eastAsia"/>
        </w:rPr>
        <w:t>从</w:t>
      </w:r>
      <w:r>
        <w:t>这个角度衡量，</w:t>
      </w:r>
      <w:r>
        <w:rPr>
          <w:rFonts w:hint="eastAsia"/>
        </w:rPr>
        <w:t>湖南商</w:t>
      </w:r>
      <w:r>
        <w:t>学院</w:t>
      </w:r>
      <w:r>
        <w:rPr>
          <w:rFonts w:hint="eastAsia"/>
        </w:rPr>
        <w:t>毕业</w:t>
      </w:r>
      <w:r>
        <w:t>生就业质量的提高与</w:t>
      </w:r>
      <w:r>
        <w:rPr>
          <w:rFonts w:hint="eastAsia"/>
        </w:rPr>
        <w:t>学校在</w:t>
      </w:r>
      <w:r>
        <w:t>教育教学</w:t>
      </w:r>
      <w:r>
        <w:rPr>
          <w:rFonts w:hint="eastAsia"/>
        </w:rPr>
        <w:t>领域的</w:t>
      </w:r>
      <w:r>
        <w:t>不断</w:t>
      </w:r>
      <w:r>
        <w:rPr>
          <w:rFonts w:hint="eastAsia"/>
        </w:rPr>
        <w:t>探寻</w:t>
      </w:r>
      <w:r>
        <w:t>和</w:t>
      </w:r>
      <w:r>
        <w:rPr>
          <w:rFonts w:hint="eastAsia"/>
        </w:rPr>
        <w:t>对</w:t>
      </w:r>
      <w:r>
        <w:t>教育教学内容的不断优化</w:t>
      </w:r>
      <w:r>
        <w:rPr>
          <w:rFonts w:hint="eastAsia"/>
        </w:rPr>
        <w:t>有着</w:t>
      </w:r>
      <w:r>
        <w:t>密不可分的关系。</w:t>
      </w:r>
    </w:p>
    <w:p>
      <w:pPr>
        <w:pStyle w:val="40"/>
      </w:pPr>
      <w:r>
        <w:rPr>
          <w:rFonts w:hint="eastAsia"/>
        </w:rPr>
        <w:t>湖南商</w:t>
      </w:r>
      <w:r>
        <w:t>学院</w:t>
      </w:r>
      <w:r>
        <w:rPr>
          <w:rFonts w:hint="eastAsia"/>
        </w:rPr>
        <w:t>积极组织</w:t>
      </w:r>
      <w:r>
        <w:t>就业质量报告编制工作，</w:t>
      </w:r>
      <w:r>
        <w:rPr>
          <w:rFonts w:hint="eastAsia"/>
        </w:rPr>
        <w:t>并</w:t>
      </w:r>
      <w:r>
        <w:t>针对毕业生就业质量满意度、毕业生对母校满意度和用人单位对毕业生及学校满意度进行调研</w:t>
      </w:r>
      <w:r>
        <w:rPr>
          <w:rFonts w:hint="eastAsia"/>
        </w:rPr>
        <w:t>。通过客观学生</w:t>
      </w:r>
      <w:r>
        <w:t>数据及调研数据，得出</w:t>
      </w:r>
      <w:r>
        <w:rPr>
          <w:rFonts w:hint="eastAsia"/>
        </w:rPr>
        <w:t>关于学校</w:t>
      </w:r>
      <w:r>
        <w:t>教育教学的反馈意见</w:t>
      </w:r>
      <w:r>
        <w:rPr>
          <w:rFonts w:hint="eastAsia"/>
        </w:rPr>
        <w:t>。</w:t>
      </w:r>
    </w:p>
    <w:p>
      <w:pPr>
        <w:pStyle w:val="40"/>
      </w:pPr>
      <w:r>
        <w:rPr>
          <w:rFonts w:hint="eastAsia"/>
        </w:rPr>
        <w:t>下文</w:t>
      </w:r>
      <w:r>
        <w:t>将</w:t>
      </w:r>
      <w:r>
        <w:rPr>
          <w:rFonts w:hint="eastAsia"/>
        </w:rPr>
        <w:t>就</w:t>
      </w:r>
      <w:r>
        <w:t>前文中的</w:t>
      </w:r>
      <w:r>
        <w:rPr>
          <w:rFonts w:hint="eastAsia"/>
        </w:rPr>
        <w:t>调研</w:t>
      </w:r>
      <w:r>
        <w:t>结论</w:t>
      </w:r>
      <w:r>
        <w:rPr>
          <w:rFonts w:hint="eastAsia"/>
        </w:rPr>
        <w:t>作以</w:t>
      </w:r>
      <w:r>
        <w:t>总结，</w:t>
      </w:r>
      <w:r>
        <w:rPr>
          <w:rFonts w:hint="eastAsia"/>
        </w:rPr>
        <w:t>得到</w:t>
      </w:r>
      <w:r>
        <w:t>有关</w:t>
      </w:r>
      <w:r>
        <w:rPr>
          <w:rFonts w:hint="eastAsia"/>
        </w:rPr>
        <w:t>湖南商</w:t>
      </w:r>
      <w:r>
        <w:t>学院教育教学的未来发展建议。</w:t>
      </w:r>
    </w:p>
    <w:p>
      <w:pPr>
        <w:pStyle w:val="30"/>
      </w:pPr>
      <w:bookmarkStart w:id="385" w:name="_Toc471311000"/>
      <w:bookmarkStart w:id="386" w:name="_Toc469038444"/>
      <w:r>
        <w:rPr>
          <w:rFonts w:hint="eastAsia"/>
        </w:rPr>
        <w:t>（一）就业质量</w:t>
      </w:r>
      <w:r>
        <w:t>满意度对教育教学的反馈</w:t>
      </w:r>
      <w:bookmarkEnd w:id="385"/>
      <w:bookmarkEnd w:id="386"/>
    </w:p>
    <w:p>
      <w:pPr>
        <w:pStyle w:val="40"/>
      </w:pPr>
      <w:r>
        <w:rPr>
          <w:rFonts w:hint="eastAsia"/>
        </w:rPr>
        <w:t>毕业生就业质量的整体满意度是衡量学校办学质量和效益的重要指标，通过对毕业生就业质量整体满意度的分析，可以反映出学校毕业生的整体就业质量，显示不足及需要改进的地方，为学校人才培养提供重要参考价值。从满意度描述统计中，湖南商学院2016届</w:t>
      </w:r>
      <w:r>
        <w:t>毕业生</w:t>
      </w:r>
      <w:r>
        <w:rPr>
          <w:rFonts w:hint="eastAsia"/>
        </w:rPr>
        <w:t>就业</w:t>
      </w:r>
      <w:r>
        <w:t>质量</w:t>
      </w:r>
      <w:r>
        <w:rPr>
          <w:rFonts w:hint="eastAsia"/>
        </w:rPr>
        <w:t>得分在[</w:t>
      </w:r>
      <w:r>
        <w:t>3.562,3.700]</w:t>
      </w:r>
      <w:r>
        <w:rPr>
          <w:rFonts w:hint="eastAsia"/>
        </w:rPr>
        <w:t>分之间，介于非常满意与满意，整体上就业质量不错，</w:t>
      </w:r>
      <w:r>
        <w:t>但</w:t>
      </w:r>
      <w:r>
        <w:rPr>
          <w:rFonts w:hint="eastAsia"/>
        </w:rPr>
        <w:t>仍有</w:t>
      </w:r>
      <w:r>
        <w:t>提升空间</w:t>
      </w:r>
      <w:r>
        <w:rPr>
          <w:rFonts w:hint="eastAsia"/>
        </w:rPr>
        <w:t>。</w:t>
      </w:r>
    </w:p>
    <w:p>
      <w:pPr>
        <w:pStyle w:val="40"/>
      </w:pPr>
      <w:r>
        <w:rPr>
          <w:rFonts w:hint="eastAsia"/>
        </w:rPr>
        <w:t>整体</w:t>
      </w:r>
      <w:r>
        <w:t>来看，</w:t>
      </w:r>
      <w:r>
        <w:rPr>
          <w:rFonts w:hint="eastAsia"/>
        </w:rPr>
        <w:t>全部</w:t>
      </w:r>
      <w:r>
        <w:t>参评指标得分均在</w:t>
      </w:r>
      <w:r>
        <w:rPr>
          <w:rFonts w:hint="eastAsia"/>
        </w:rPr>
        <w:t>3</w:t>
      </w:r>
      <w:r>
        <w:t>-4</w:t>
      </w:r>
      <w:r>
        <w:rPr>
          <w:rFonts w:hint="eastAsia"/>
        </w:rPr>
        <w:t>分</w:t>
      </w:r>
      <w:r>
        <w:t>之间，其中，工作岗位满意度（</w:t>
      </w:r>
      <w:r>
        <w:rPr>
          <w:rFonts w:hint="eastAsia"/>
        </w:rPr>
        <w:t>3.888分</w:t>
      </w:r>
      <w:r>
        <w:t>）</w:t>
      </w:r>
      <w:r>
        <w:rPr>
          <w:rFonts w:hint="eastAsia"/>
        </w:rPr>
        <w:t>、</w:t>
      </w:r>
      <w:r>
        <w:t>工作岗位适应状态（</w:t>
      </w:r>
      <w:r>
        <w:rPr>
          <w:rFonts w:hint="eastAsia"/>
        </w:rPr>
        <w:t>3.879分</w:t>
      </w:r>
      <w:r>
        <w:t>）</w:t>
      </w:r>
      <w:r>
        <w:rPr>
          <w:rFonts w:hint="eastAsia"/>
        </w:rPr>
        <w:t>、</w:t>
      </w:r>
      <w:r>
        <w:t>工作岗位晋升机制（</w:t>
      </w:r>
      <w:r>
        <w:rPr>
          <w:rFonts w:hint="eastAsia"/>
        </w:rPr>
        <w:t>3.726分</w:t>
      </w:r>
      <w:r>
        <w:t>）</w:t>
      </w:r>
      <w:r>
        <w:rPr>
          <w:rFonts w:hint="eastAsia"/>
        </w:rPr>
        <w:t>得分</w:t>
      </w:r>
      <w:r>
        <w:t>最高，单位培训机会</w:t>
      </w:r>
      <w:r>
        <w:rPr>
          <w:rFonts w:hint="eastAsia"/>
        </w:rPr>
        <w:t>（3.422分）</w:t>
      </w:r>
      <w:r>
        <w:t>、</w:t>
      </w:r>
      <w:r>
        <w:rPr>
          <w:rFonts w:hint="eastAsia"/>
        </w:rPr>
        <w:t>工作</w:t>
      </w:r>
      <w:r>
        <w:t>与理想职业一致性</w:t>
      </w:r>
      <w:r>
        <w:rPr>
          <w:rFonts w:hint="eastAsia"/>
        </w:rPr>
        <w:t>（3.348分）和薪资评价</w:t>
      </w:r>
      <w:r>
        <w:t>（</w:t>
      </w:r>
      <w:r>
        <w:rPr>
          <w:rFonts w:hint="eastAsia"/>
        </w:rPr>
        <w:t>3.187分</w:t>
      </w:r>
      <w:r>
        <w:t>）</w:t>
      </w:r>
      <w:r>
        <w:rPr>
          <w:rFonts w:hint="eastAsia"/>
        </w:rPr>
        <w:t>得分</w:t>
      </w:r>
      <w:r>
        <w:t>最低。</w:t>
      </w:r>
      <w:r>
        <w:rPr>
          <w:rFonts w:hint="eastAsia"/>
        </w:rPr>
        <w:t>结合重要性</w:t>
      </w:r>
      <w:r>
        <w:t>-满意度象限图</w:t>
      </w:r>
      <w:r>
        <w:rPr>
          <w:rFonts w:hint="eastAsia"/>
        </w:rPr>
        <w:t>可知，</w:t>
      </w:r>
      <w:r>
        <w:t>重要性最高的加班评价满意度得分</w:t>
      </w:r>
      <w:r>
        <w:rPr>
          <w:rFonts w:hint="eastAsia"/>
        </w:rPr>
        <w:t>为3.582分，</w:t>
      </w:r>
      <w:r>
        <w:t>需要在未来工作中有针对性的提高</w:t>
      </w:r>
      <w:r>
        <w:rPr>
          <w:rFonts w:hint="eastAsia"/>
        </w:rPr>
        <w:t>。</w:t>
      </w:r>
      <w:r>
        <w:t>对于加班评价的重视，说明毕业生开始关注作为职业人的相关权益，</w:t>
      </w:r>
      <w:r>
        <w:rPr>
          <w:rFonts w:hint="eastAsia"/>
        </w:rPr>
        <w:t>不再</w:t>
      </w:r>
      <w:r>
        <w:t>为了</w:t>
      </w:r>
      <w:r>
        <w:rPr>
          <w:rFonts w:hint="eastAsia"/>
        </w:rPr>
        <w:t>“有工作</w:t>
      </w:r>
      <w:r>
        <w:t>”</w:t>
      </w:r>
      <w:r>
        <w:rPr>
          <w:rFonts w:hint="eastAsia"/>
        </w:rPr>
        <w:t>而</w:t>
      </w:r>
      <w:r>
        <w:t>突破自我底线，甘心面对无止境的无报酬加班，这</w:t>
      </w:r>
      <w:r>
        <w:rPr>
          <w:rFonts w:hint="eastAsia"/>
        </w:rPr>
        <w:t>除了</w:t>
      </w:r>
      <w:r>
        <w:t>源自每个人不愿加班的本能外，</w:t>
      </w:r>
      <w:r>
        <w:rPr>
          <w:rFonts w:hint="eastAsia"/>
        </w:rPr>
        <w:t>一定程度</w:t>
      </w:r>
      <w:r>
        <w:t>说明</w:t>
      </w:r>
      <w:r>
        <w:rPr>
          <w:rFonts w:hint="eastAsia"/>
        </w:rPr>
        <w:t>学校</w:t>
      </w:r>
      <w:r>
        <w:t>在就业指导过程中</w:t>
      </w:r>
      <w:r>
        <w:rPr>
          <w:rFonts w:hint="eastAsia"/>
        </w:rPr>
        <w:t>提升了</w:t>
      </w:r>
      <w:r>
        <w:t>学生的权利意识，让他们更加重视在求职的过程中保护自己的权益。</w:t>
      </w:r>
      <w:r>
        <w:rPr>
          <w:rFonts w:hint="eastAsia"/>
        </w:rPr>
        <w:t>因此</w:t>
      </w:r>
      <w:r>
        <w:t>，加班评价满意度的提升，</w:t>
      </w:r>
      <w:r>
        <w:rPr>
          <w:rFonts w:hint="eastAsia"/>
        </w:rPr>
        <w:t>需要</w:t>
      </w:r>
      <w:r>
        <w:t>社会与学校两方面的努力，社会应倡导正常工作安排，</w:t>
      </w:r>
      <w:r>
        <w:rPr>
          <w:rFonts w:hint="eastAsia"/>
        </w:rPr>
        <w:t>尽可能</w:t>
      </w:r>
      <w:r>
        <w:t>杜绝无条件加班现象，</w:t>
      </w:r>
      <w:r>
        <w:rPr>
          <w:rFonts w:hint="eastAsia"/>
        </w:rPr>
        <w:t>作为</w:t>
      </w:r>
      <w:r>
        <w:t>学校，则应该在人才培养工作上下功夫</w:t>
      </w:r>
      <w:r>
        <w:rPr>
          <w:rFonts w:hint="eastAsia"/>
        </w:rPr>
        <w:t>，</w:t>
      </w:r>
      <w:r>
        <w:t>从根本上提高毕业生就业竞争力，</w:t>
      </w:r>
      <w:r>
        <w:rPr>
          <w:rFonts w:hint="eastAsia"/>
        </w:rPr>
        <w:t>获得</w:t>
      </w:r>
      <w:r>
        <w:t>工作的自主选择权，避免在</w:t>
      </w:r>
      <w:r>
        <w:rPr>
          <w:rFonts w:hint="eastAsia"/>
        </w:rPr>
        <w:t>无条件</w:t>
      </w:r>
      <w:r>
        <w:t>加班情况严重的单位就业。</w:t>
      </w:r>
    </w:p>
    <w:p>
      <w:pPr>
        <w:pStyle w:val="40"/>
      </w:pPr>
      <w:r>
        <w:rPr>
          <w:rFonts w:hint="eastAsia"/>
        </w:rPr>
        <w:t>另外</w:t>
      </w:r>
      <w:r>
        <w:t>，</w:t>
      </w:r>
      <w:r>
        <w:rPr>
          <w:rFonts w:hint="eastAsia"/>
        </w:rPr>
        <w:t>对于</w:t>
      </w:r>
      <w:r>
        <w:t>同样具有高于平均值的重要性，满意度却在平均值以下的薪资评价、工作与理想一致性</w:t>
      </w:r>
      <w:r>
        <w:rPr>
          <w:rFonts w:hint="eastAsia"/>
        </w:rPr>
        <w:t>、</w:t>
      </w:r>
      <w:r>
        <w:t>单位培训机会和单位业界知名度，学校也应从自身角度做出一定努力。</w:t>
      </w:r>
      <w:r>
        <w:rPr>
          <w:rFonts w:hint="eastAsia"/>
        </w:rPr>
        <w:t>从根源上</w:t>
      </w:r>
      <w:r>
        <w:t>说，对薪资、与理想一致性</w:t>
      </w:r>
      <w:r>
        <w:rPr>
          <w:rFonts w:hint="eastAsia"/>
        </w:rPr>
        <w:t>、</w:t>
      </w:r>
      <w:r>
        <w:t>培训机会及单位知名度的不满主要来源于</w:t>
      </w:r>
      <w:r>
        <w:rPr>
          <w:rFonts w:hint="eastAsia"/>
        </w:rPr>
        <w:t>求职</w:t>
      </w:r>
      <w:r>
        <w:t>结果不佳，即未能找到在各个方面满足自身需求的工作</w:t>
      </w:r>
      <w:r>
        <w:rPr>
          <w:rFonts w:hint="eastAsia"/>
        </w:rPr>
        <w:t>，</w:t>
      </w:r>
      <w:r>
        <w:t>针对这一状况，</w:t>
      </w:r>
      <w:r>
        <w:rPr>
          <w:rFonts w:hint="eastAsia"/>
        </w:rPr>
        <w:t>学校</w:t>
      </w:r>
      <w:r>
        <w:t>能做的主要有</w:t>
      </w:r>
      <w:r>
        <w:rPr>
          <w:rFonts w:hint="eastAsia"/>
        </w:rPr>
        <w:t>三点</w:t>
      </w:r>
      <w:r>
        <w:t>：第一，</w:t>
      </w:r>
      <w:r>
        <w:rPr>
          <w:rFonts w:hint="eastAsia"/>
        </w:rPr>
        <w:t>加强人才</w:t>
      </w:r>
      <w:r>
        <w:t>培养工作力度</w:t>
      </w:r>
      <w:r>
        <w:rPr>
          <w:rFonts w:hint="eastAsia"/>
        </w:rPr>
        <w:t>，</w:t>
      </w:r>
      <w:r>
        <w:t>提高毕业生</w:t>
      </w:r>
      <w:r>
        <w:rPr>
          <w:rFonts w:hint="eastAsia"/>
        </w:rPr>
        <w:t>素质</w:t>
      </w:r>
      <w:r>
        <w:t>与能力，</w:t>
      </w:r>
      <w:r>
        <w:rPr>
          <w:rFonts w:hint="eastAsia"/>
        </w:rPr>
        <w:t>高素质</w:t>
      </w:r>
      <w:r>
        <w:t>人才在求职市场的具有更强的竞争力，更可能获得大公司的垂青，便也</w:t>
      </w:r>
      <w:r>
        <w:rPr>
          <w:rFonts w:hint="eastAsia"/>
        </w:rPr>
        <w:t>更可能得到</w:t>
      </w:r>
      <w:r>
        <w:t>与理想相符的高薪资岗位</w:t>
      </w:r>
      <w:r>
        <w:rPr>
          <w:rFonts w:hint="eastAsia"/>
        </w:rPr>
        <w:t>；</w:t>
      </w:r>
      <w:r>
        <w:t>第二，通过就业指导课程帮助学生了解什么样的工作与理想相符，</w:t>
      </w:r>
      <w:r>
        <w:rPr>
          <w:rFonts w:hint="eastAsia"/>
        </w:rPr>
        <w:t>提示</w:t>
      </w:r>
      <w:r>
        <w:t>学生在求职过程中</w:t>
      </w:r>
      <w:r>
        <w:rPr>
          <w:rFonts w:hint="eastAsia"/>
        </w:rPr>
        <w:t>加强</w:t>
      </w:r>
      <w:r>
        <w:t>对薪资和福利的关注</w:t>
      </w:r>
      <w:r>
        <w:rPr>
          <w:rFonts w:hint="eastAsia"/>
        </w:rPr>
        <w:t>，面试</w:t>
      </w:r>
      <w:r>
        <w:t>时将福利与待遇问题讨论清楚，不要因为自己的忽视而导致</w:t>
      </w:r>
      <w:r>
        <w:rPr>
          <w:rFonts w:hint="eastAsia"/>
        </w:rPr>
        <w:t>上岗</w:t>
      </w:r>
      <w:r>
        <w:t>后对薪资的不满；第三，</w:t>
      </w:r>
      <w:r>
        <w:rPr>
          <w:rFonts w:hint="eastAsia"/>
        </w:rPr>
        <w:t>满意度</w:t>
      </w:r>
      <w:r>
        <w:t>的高低常常与期望值挂钩，因此，学校应</w:t>
      </w:r>
      <w:r>
        <w:rPr>
          <w:rFonts w:hint="eastAsia"/>
        </w:rPr>
        <w:t>帮助</w:t>
      </w:r>
      <w:r>
        <w:t>学生</w:t>
      </w:r>
      <w:r>
        <w:rPr>
          <w:rFonts w:hint="eastAsia"/>
        </w:rPr>
        <w:t>认清</w:t>
      </w:r>
      <w:r>
        <w:t>自身能力与价值，不好高骛远或妄自菲薄，以合理的期望值对</w:t>
      </w:r>
      <w:r>
        <w:rPr>
          <w:rFonts w:hint="eastAsia"/>
        </w:rPr>
        <w:t>单位的</w:t>
      </w:r>
      <w:r>
        <w:t>一切条件</w:t>
      </w:r>
      <w:r>
        <w:rPr>
          <w:rFonts w:hint="eastAsia"/>
        </w:rPr>
        <w:t>做出</w:t>
      </w:r>
      <w:r>
        <w:t>评价。</w:t>
      </w:r>
    </w:p>
    <w:p>
      <w:pPr>
        <w:pStyle w:val="40"/>
      </w:pPr>
      <w:r>
        <w:rPr>
          <w:rFonts w:hint="eastAsia"/>
        </w:rPr>
        <w:t>值得注意的是</w:t>
      </w:r>
      <w:r>
        <w:t>，</w:t>
      </w:r>
      <w:r>
        <w:rPr>
          <w:rFonts w:hint="eastAsia"/>
        </w:rPr>
        <w:t>工作岗位</w:t>
      </w:r>
      <w:r>
        <w:t>适应状态和工作</w:t>
      </w:r>
      <w:r>
        <w:rPr>
          <w:rFonts w:hint="eastAsia"/>
        </w:rPr>
        <w:t>岗位</w:t>
      </w:r>
      <w:r>
        <w:t>满意度</w:t>
      </w:r>
      <w:r>
        <w:rPr>
          <w:rFonts w:hint="eastAsia"/>
        </w:rPr>
        <w:t>的</w:t>
      </w:r>
      <w:r>
        <w:t>得分相对最高，其指标重要性</w:t>
      </w:r>
      <w:r>
        <w:rPr>
          <w:rFonts w:hint="eastAsia"/>
        </w:rPr>
        <w:t>却</w:t>
      </w:r>
      <w:r>
        <w:t>相对最低，</w:t>
      </w:r>
      <w:r>
        <w:rPr>
          <w:rFonts w:hint="eastAsia"/>
        </w:rPr>
        <w:t>说明</w:t>
      </w:r>
      <w:r>
        <w:t>毕业生在进行评价时，对于缺乏</w:t>
      </w:r>
      <w:r>
        <w:rPr>
          <w:rFonts w:hint="eastAsia"/>
        </w:rPr>
        <w:t>针对性</w:t>
      </w:r>
      <w:r>
        <w:t>的整体评价指标不</w:t>
      </w:r>
      <w:r>
        <w:rPr>
          <w:rFonts w:hint="eastAsia"/>
        </w:rPr>
        <w:t>太</w:t>
      </w:r>
      <w:r>
        <w:t>关注。</w:t>
      </w:r>
    </w:p>
    <w:p>
      <w:pPr>
        <w:pStyle w:val="30"/>
      </w:pPr>
      <w:bookmarkStart w:id="387" w:name="_Toc471311001"/>
      <w:bookmarkStart w:id="388" w:name="_Toc469038445"/>
      <w:r>
        <w:rPr>
          <w:rFonts w:hint="eastAsia"/>
        </w:rPr>
        <w:t>（二）毕业生</w:t>
      </w:r>
      <w:r>
        <w:t>母校满意度对教育教学的反馈</w:t>
      </w:r>
      <w:bookmarkEnd w:id="387"/>
      <w:bookmarkEnd w:id="388"/>
    </w:p>
    <w:p>
      <w:pPr>
        <w:pStyle w:val="40"/>
      </w:pPr>
      <w:r>
        <w:rPr>
          <w:rFonts w:hint="eastAsia"/>
        </w:rPr>
        <w:t>毕业生作为教育教学的直接作用对象，他们对学校的满意度直观反映了学校的教育教学水平，是对教育教学质量的最清晰反馈，是帮助学校提升教育教学质量的重要指标。</w:t>
      </w:r>
    </w:p>
    <w:p>
      <w:pPr>
        <w:pStyle w:val="40"/>
      </w:pPr>
      <w:r>
        <w:rPr>
          <w:rFonts w:hint="eastAsia"/>
        </w:rPr>
        <w:t>通过建立毕业生对母校满意度评价模型可以得到2016届毕业生对学校的满意度。根据之前的调研数据，可知湖南商学院毕业生对学校的满意度整体情况较好，根据</w:t>
      </w:r>
      <w:r>
        <w:t>计算得到的各指标权重，计算</w:t>
      </w:r>
      <w:r>
        <w:rPr>
          <w:rFonts w:hint="eastAsia"/>
        </w:rPr>
        <w:t>毕业生对</w:t>
      </w:r>
      <w:r>
        <w:t>学校的综合满意度得分为75.15</w:t>
      </w:r>
      <w:r>
        <w:rPr>
          <w:rFonts w:hint="eastAsia"/>
        </w:rPr>
        <w:t>分（百分制），学校在未来工作中仍有提升空间。</w:t>
      </w:r>
    </w:p>
    <w:p>
      <w:pPr>
        <w:pStyle w:val="40"/>
      </w:pPr>
      <w:r>
        <w:t>2016</w:t>
      </w:r>
      <w:r>
        <w:rPr>
          <w:rFonts w:hint="eastAsia"/>
        </w:rPr>
        <w:t>届毕业生对学校满意度调研结果反馈的问题及相关建议如下。</w:t>
      </w:r>
    </w:p>
    <w:p>
      <w:pPr>
        <w:pStyle w:val="40"/>
      </w:pPr>
      <w:r>
        <w:rPr>
          <w:rFonts w:hint="eastAsia"/>
        </w:rPr>
        <w:t>各参评</w:t>
      </w:r>
      <w:r>
        <w:t>指标中，实践教学和</w:t>
      </w:r>
      <w:r>
        <w:rPr>
          <w:rFonts w:hint="eastAsia"/>
        </w:rPr>
        <w:t>校园招聘活动</w:t>
      </w:r>
      <w:r>
        <w:t>需要学校的特别关注。</w:t>
      </w:r>
      <w:r>
        <w:rPr>
          <w:rFonts w:hint="eastAsia"/>
        </w:rPr>
        <w:t>前者</w:t>
      </w:r>
      <w:r>
        <w:t>在所有指标中重要性最高，但满意度最低，这</w:t>
      </w:r>
      <w:r>
        <w:rPr>
          <w:rFonts w:hint="eastAsia"/>
        </w:rPr>
        <w:t>对于</w:t>
      </w:r>
      <w:r>
        <w:t>毕业生</w:t>
      </w:r>
      <w:r>
        <w:rPr>
          <w:rFonts w:hint="eastAsia"/>
        </w:rPr>
        <w:t>的</w:t>
      </w:r>
      <w:r>
        <w:t>整体满意度</w:t>
      </w:r>
      <w:r>
        <w:rPr>
          <w:rFonts w:hint="eastAsia"/>
        </w:rPr>
        <w:t>有极大</w:t>
      </w:r>
      <w:r>
        <w:t>负面影响，</w:t>
      </w:r>
      <w:r>
        <w:rPr>
          <w:rFonts w:hint="eastAsia"/>
        </w:rPr>
        <w:t>亟待</w:t>
      </w:r>
      <w:r>
        <w:t>学校立刻着手强化</w:t>
      </w:r>
      <w:r>
        <w:rPr>
          <w:rFonts w:hint="eastAsia"/>
        </w:rPr>
        <w:t>实践教学</w:t>
      </w:r>
      <w:r>
        <w:t>工作。而</w:t>
      </w:r>
      <w:r>
        <w:rPr>
          <w:rFonts w:hint="eastAsia"/>
        </w:rPr>
        <w:t>后者满意度</w:t>
      </w:r>
      <w:r>
        <w:t>相对最高，但指标重要性最低，</w:t>
      </w:r>
      <w:r>
        <w:rPr>
          <w:rFonts w:hint="eastAsia"/>
        </w:rPr>
        <w:t>即</w:t>
      </w:r>
      <w:r>
        <w:t>提示学校在未来工作中，可适当将投入在校园招聘活动组织方面的人力物力资源转移向其他更需要关注的领域，在保持校园招聘活动</w:t>
      </w:r>
      <w:r>
        <w:rPr>
          <w:rFonts w:hint="eastAsia"/>
        </w:rPr>
        <w:t>依然</w:t>
      </w:r>
      <w:r>
        <w:t>获得毕业生认可的前提下，</w:t>
      </w:r>
      <w:r>
        <w:rPr>
          <w:rFonts w:hint="eastAsia"/>
        </w:rPr>
        <w:t>提升</w:t>
      </w:r>
      <w:r>
        <w:t>其他工作</w:t>
      </w:r>
      <w:r>
        <w:rPr>
          <w:rFonts w:hint="eastAsia"/>
        </w:rPr>
        <w:t>水平</w:t>
      </w:r>
      <w:r>
        <w:t>，保证学校各方面工作的平衡发展。</w:t>
      </w:r>
    </w:p>
    <w:p>
      <w:pPr>
        <w:pStyle w:val="40"/>
      </w:pPr>
      <w:r>
        <w:rPr>
          <w:rFonts w:hint="eastAsia"/>
        </w:rPr>
        <w:t>具体</w:t>
      </w:r>
      <w:r>
        <w:t>来说，针对校园招聘活动，</w:t>
      </w:r>
      <w:r>
        <w:rPr>
          <w:rFonts w:hint="eastAsia"/>
        </w:rPr>
        <w:t>学校在</w:t>
      </w:r>
      <w:r>
        <w:t>维持</w:t>
      </w:r>
      <w:r>
        <w:rPr>
          <w:rFonts w:hint="eastAsia"/>
        </w:rPr>
        <w:t>去年</w:t>
      </w:r>
      <w:r>
        <w:t>的组织及规划</w:t>
      </w:r>
      <w:r>
        <w:rPr>
          <w:rFonts w:hint="eastAsia"/>
        </w:rPr>
        <w:t>的</w:t>
      </w:r>
      <w:r>
        <w:t>基础上，吸取</w:t>
      </w:r>
      <w:r>
        <w:rPr>
          <w:rFonts w:hint="eastAsia"/>
        </w:rPr>
        <w:t>经验教训，最大化</w:t>
      </w:r>
      <w:r>
        <w:t>利用资源</w:t>
      </w:r>
      <w:r>
        <w:rPr>
          <w:rFonts w:hint="eastAsia"/>
        </w:rPr>
        <w:t>，将</w:t>
      </w:r>
      <w:r>
        <w:t>过多的人力与物力资源转向</w:t>
      </w:r>
      <w:r>
        <w:rPr>
          <w:rFonts w:hint="eastAsia"/>
        </w:rPr>
        <w:t>资源</w:t>
      </w:r>
      <w:r>
        <w:t>需求更大的工作</w:t>
      </w:r>
      <w:r>
        <w:rPr>
          <w:rFonts w:hint="eastAsia"/>
        </w:rPr>
        <w:t>。</w:t>
      </w:r>
      <w:r>
        <w:t>校园招聘</w:t>
      </w:r>
      <w:r>
        <w:rPr>
          <w:rFonts w:hint="eastAsia"/>
        </w:rPr>
        <w:t>的</w:t>
      </w:r>
      <w:r>
        <w:t>组织</w:t>
      </w:r>
      <w:r>
        <w:rPr>
          <w:rFonts w:hint="eastAsia"/>
        </w:rPr>
        <w:t>过程中</w:t>
      </w:r>
      <w:r>
        <w:t>，企业与学生是两大主要对象，做好</w:t>
      </w:r>
      <w:r>
        <w:rPr>
          <w:rFonts w:hint="eastAsia"/>
        </w:rPr>
        <w:t>与</w:t>
      </w:r>
      <w:r>
        <w:t>这二者的沟通，</w:t>
      </w:r>
      <w:r>
        <w:rPr>
          <w:rFonts w:hint="eastAsia"/>
        </w:rPr>
        <w:t>有针对性</w:t>
      </w:r>
      <w:r>
        <w:t>地组织招聘会，</w:t>
      </w:r>
      <w:r>
        <w:rPr>
          <w:rFonts w:hint="eastAsia"/>
        </w:rPr>
        <w:t>做好</w:t>
      </w:r>
      <w:r>
        <w:t>双方的引导工作，从</w:t>
      </w:r>
      <w:r>
        <w:rPr>
          <w:rFonts w:hint="eastAsia"/>
        </w:rPr>
        <w:t>“软件”上</w:t>
      </w:r>
      <w:r>
        <w:t>提高校园招聘会的质量</w:t>
      </w:r>
      <w:r>
        <w:rPr>
          <w:rFonts w:hint="eastAsia"/>
        </w:rPr>
        <w:t>，</w:t>
      </w:r>
      <w:r>
        <w:t>将远比提高校园招聘的</w:t>
      </w:r>
      <w:r>
        <w:rPr>
          <w:rFonts w:hint="eastAsia"/>
        </w:rPr>
        <w:t>“硬件”更加能够令</w:t>
      </w:r>
      <w:r>
        <w:t>参与校园招聘的企业与</w:t>
      </w:r>
      <w:r>
        <w:rPr>
          <w:rFonts w:hint="eastAsia"/>
        </w:rPr>
        <w:t>毕业生</w:t>
      </w:r>
      <w:r>
        <w:t>满意</w:t>
      </w:r>
      <w:r>
        <w:rPr>
          <w:rFonts w:hint="eastAsia"/>
        </w:rPr>
        <w:t>。</w:t>
      </w:r>
    </w:p>
    <w:p>
      <w:pPr>
        <w:pStyle w:val="40"/>
      </w:pPr>
      <w:r>
        <w:rPr>
          <w:rFonts w:hint="eastAsia"/>
        </w:rPr>
        <w:t>对于</w:t>
      </w:r>
      <w:r>
        <w:t>实践教学活动，</w:t>
      </w:r>
      <w:r>
        <w:rPr>
          <w:rFonts w:hint="eastAsia"/>
        </w:rPr>
        <w:t>针对现状</w:t>
      </w:r>
      <w:r>
        <w:t>，</w:t>
      </w:r>
      <w:r>
        <w:rPr>
          <w:rFonts w:hint="eastAsia"/>
        </w:rPr>
        <w:t>湖南商</w:t>
      </w:r>
      <w:r>
        <w:t>学院</w:t>
      </w:r>
      <w:r>
        <w:rPr>
          <w:rFonts w:hint="eastAsia"/>
        </w:rPr>
        <w:t>应</w:t>
      </w:r>
      <w:r>
        <w:t>在下一年工作中将实践教学的安排提上议程，从质与量两个方面强化实践教学工作，</w:t>
      </w:r>
      <w:r>
        <w:rPr>
          <w:rFonts w:hint="eastAsia"/>
        </w:rPr>
        <w:t>合理</w:t>
      </w:r>
      <w:r>
        <w:t>增加实践教学课时，鼓励高年级学生参与实习，争取与企业合作，建立实训基地，并从师资角度增加实践专任教师，从更加专业的角度对学生的实践能力进行培养，帮助毕业生在</w:t>
      </w:r>
      <w:r>
        <w:rPr>
          <w:rFonts w:hint="eastAsia"/>
        </w:rPr>
        <w:t>就业</w:t>
      </w:r>
      <w:r>
        <w:t>后尽快适应工作</w:t>
      </w:r>
      <w:r>
        <w:rPr>
          <w:rFonts w:hint="eastAsia"/>
        </w:rPr>
        <w:t>，</w:t>
      </w:r>
      <w:r>
        <w:t>提高毕业生对实践教学的满意度。</w:t>
      </w:r>
    </w:p>
    <w:p>
      <w:pPr>
        <w:pStyle w:val="40"/>
      </w:pPr>
      <w:r>
        <w:rPr>
          <w:rFonts w:hint="eastAsia"/>
        </w:rPr>
        <w:t>除了</w:t>
      </w:r>
      <w:r>
        <w:t>这两大</w:t>
      </w:r>
      <w:r>
        <w:rPr>
          <w:rFonts w:hint="eastAsia"/>
        </w:rPr>
        <w:t>数值</w:t>
      </w:r>
      <w:r>
        <w:t>极端的指标外，课程设置</w:t>
      </w:r>
      <w:r>
        <w:rPr>
          <w:rFonts w:hint="eastAsia"/>
        </w:rPr>
        <w:t>、</w:t>
      </w:r>
      <w:r>
        <w:t>亲友推荐、就业手续办理和就业</w:t>
      </w:r>
      <w:r>
        <w:rPr>
          <w:rFonts w:hint="eastAsia"/>
        </w:rPr>
        <w:t>/创业</w:t>
      </w:r>
      <w:r>
        <w:t>指导课也面对类似但并不极端的状况。其中</w:t>
      </w:r>
      <w:r>
        <w:rPr>
          <w:rFonts w:hint="eastAsia"/>
        </w:rPr>
        <w:t>，</w:t>
      </w:r>
      <w:r>
        <w:t>课程设置和亲友推荐指标满意度低于平均值，重要性高于平均值，需要学校在未来的工作中</w:t>
      </w:r>
      <w:r>
        <w:rPr>
          <w:rFonts w:hint="eastAsia"/>
        </w:rPr>
        <w:t>更加</w:t>
      </w:r>
      <w:r>
        <w:t>关注；就业手续办理和就业</w:t>
      </w:r>
      <w:r>
        <w:rPr>
          <w:rFonts w:hint="eastAsia"/>
        </w:rPr>
        <w:t>/创业</w:t>
      </w:r>
      <w:r>
        <w:t>指导课则是满意度高于平均值，重要性低于平均值，需要</w:t>
      </w:r>
      <w:r>
        <w:rPr>
          <w:rFonts w:hint="eastAsia"/>
        </w:rPr>
        <w:t>学校</w:t>
      </w:r>
      <w:r>
        <w:t>适当</w:t>
      </w:r>
      <w:r>
        <w:rPr>
          <w:rFonts w:hint="eastAsia"/>
        </w:rPr>
        <w:t>调整</w:t>
      </w:r>
      <w:r>
        <w:t>对</w:t>
      </w:r>
      <w:r>
        <w:rPr>
          <w:rFonts w:hint="eastAsia"/>
        </w:rPr>
        <w:t>它们</w:t>
      </w:r>
      <w:r>
        <w:t>的投入</w:t>
      </w:r>
      <w:r>
        <w:rPr>
          <w:rFonts w:hint="eastAsia"/>
        </w:rPr>
        <w:t>。</w:t>
      </w:r>
    </w:p>
    <w:p>
      <w:pPr>
        <w:pStyle w:val="40"/>
      </w:pPr>
      <w:r>
        <w:rPr>
          <w:rFonts w:hint="eastAsia"/>
        </w:rPr>
        <w:t>此外</w:t>
      </w:r>
      <w:r>
        <w:t>，职业咨询</w:t>
      </w:r>
      <w:r>
        <w:rPr>
          <w:rFonts w:hint="eastAsia"/>
        </w:rPr>
        <w:t>/辅导</w:t>
      </w:r>
      <w:r>
        <w:t>和就业困难群体帮扶</w:t>
      </w:r>
      <w:r>
        <w:rPr>
          <w:rFonts w:hint="eastAsia"/>
        </w:rPr>
        <w:t>工作</w:t>
      </w:r>
      <w:r>
        <w:t>重要性与满意度均高于平均值，属于学校工作中的优势项目；而专业设置与教师授课的重要性与满意度则均低于平均值，</w:t>
      </w:r>
      <w:r>
        <w:rPr>
          <w:rFonts w:hint="eastAsia"/>
        </w:rPr>
        <w:t>属于</w:t>
      </w:r>
      <w:r>
        <w:t>当前劣势，短期内</w:t>
      </w:r>
      <w:r>
        <w:rPr>
          <w:rFonts w:hint="eastAsia"/>
        </w:rPr>
        <w:t>难以</w:t>
      </w:r>
      <w:r>
        <w:t>获得提高，</w:t>
      </w:r>
      <w:r>
        <w:rPr>
          <w:rFonts w:hint="eastAsia"/>
        </w:rPr>
        <w:t>前者</w:t>
      </w:r>
      <w:r>
        <w:t>需要学校根据</w:t>
      </w:r>
      <w:r>
        <w:rPr>
          <w:rFonts w:hint="eastAsia"/>
        </w:rPr>
        <w:t>各专业</w:t>
      </w:r>
      <w:r>
        <w:t>就业率数据</w:t>
      </w:r>
      <w:r>
        <w:rPr>
          <w:rFonts w:hint="eastAsia"/>
        </w:rPr>
        <w:t>做出</w:t>
      </w:r>
      <w:r>
        <w:t>针对性调整，后者则</w:t>
      </w:r>
      <w:r>
        <w:rPr>
          <w:rFonts w:hint="eastAsia"/>
        </w:rPr>
        <w:t>需要学校</w:t>
      </w:r>
      <w:r>
        <w:t>进一步强化师资阵容，</w:t>
      </w:r>
      <w:r>
        <w:rPr>
          <w:rFonts w:hint="eastAsia"/>
        </w:rPr>
        <w:t>以优带劣</w:t>
      </w:r>
      <w:r>
        <w:t>，提高授课水平。</w:t>
      </w:r>
    </w:p>
    <w:p>
      <w:pPr>
        <w:pStyle w:val="30"/>
      </w:pPr>
      <w:bookmarkStart w:id="389" w:name="_Toc471311002"/>
      <w:bookmarkStart w:id="390" w:name="_Toc469038446"/>
      <w:r>
        <w:rPr>
          <w:rFonts w:hint="eastAsia"/>
        </w:rPr>
        <w:t>（三）用人单位</w:t>
      </w:r>
      <w:r>
        <w:t>满意度对教育教学的反馈</w:t>
      </w:r>
      <w:bookmarkEnd w:id="389"/>
      <w:bookmarkEnd w:id="390"/>
    </w:p>
    <w:p>
      <w:pPr>
        <w:pStyle w:val="40"/>
      </w:pPr>
      <w:r>
        <w:rPr>
          <w:rFonts w:hint="eastAsia"/>
        </w:rPr>
        <w:t>用人单位作为高校毕业生的接收者和使用者,其满意度对促进高校就业管理和办学质量的提升起着重要推动作用。用人单位对毕业生和毕业生毕业院校满意度评价指标的选择取决于用人单位对毕业生及其所在院校的需求和评价两方面。</w:t>
      </w:r>
    </w:p>
    <w:p>
      <w:pPr>
        <w:pStyle w:val="40"/>
      </w:pPr>
      <w:r>
        <w:rPr>
          <w:rFonts w:hint="eastAsia"/>
        </w:rPr>
        <w:t>通过调研数据，建立用人单位对毕业生及其所在院校综合满意度评价模型，计算出用人单位对毕业生以及毕业院校的综合满意度，换算成百分制形式，最后得到用人单位对毕业生以及毕业院校的综合满意度为</w:t>
      </w:r>
      <w:r>
        <w:t>75.32</w:t>
      </w:r>
      <w:r>
        <w:rPr>
          <w:rFonts w:hint="eastAsia"/>
        </w:rPr>
        <w:t>分。此结果显示，201</w:t>
      </w:r>
      <w:r>
        <w:t>6</w:t>
      </w:r>
      <w:r>
        <w:rPr>
          <w:rFonts w:hint="eastAsia"/>
        </w:rPr>
        <w:t>年用人单位对学校和学校毕业生的总体满意度不错，证明了当前学校的教育教学水平。这是对过去学校工作的肯定，</w:t>
      </w:r>
      <w:r>
        <w:t>也是</w:t>
      </w:r>
      <w:r>
        <w:rPr>
          <w:rFonts w:hint="eastAsia"/>
        </w:rPr>
        <w:t>学校长期发展的重要基础。</w:t>
      </w:r>
    </w:p>
    <w:p>
      <w:pPr>
        <w:pStyle w:val="40"/>
      </w:pPr>
      <w:r>
        <w:rPr>
          <w:rFonts w:hint="eastAsia"/>
        </w:rPr>
        <w:t>整体来看</w:t>
      </w:r>
      <w:r>
        <w:t>，</w:t>
      </w:r>
      <w:r>
        <w:rPr>
          <w:rFonts w:hint="eastAsia"/>
        </w:rPr>
        <w:t>学校</w:t>
      </w:r>
      <w:r>
        <w:t>用人单位</w:t>
      </w:r>
      <w:r>
        <w:rPr>
          <w:rFonts w:hint="eastAsia"/>
        </w:rPr>
        <w:t>调研</w:t>
      </w:r>
      <w:r>
        <w:t>参评指标满意度得分均在</w:t>
      </w:r>
      <w:r>
        <w:rPr>
          <w:rFonts w:hint="eastAsia"/>
        </w:rPr>
        <w:t>4分</w:t>
      </w:r>
      <w:r>
        <w:t>以下</w:t>
      </w:r>
      <w:r>
        <w:rPr>
          <w:rFonts w:hint="eastAsia"/>
        </w:rPr>
        <w:t>，</w:t>
      </w:r>
      <w:r>
        <w:t>整体在</w:t>
      </w:r>
      <w:r>
        <w:rPr>
          <w:rFonts w:hint="eastAsia"/>
        </w:rPr>
        <w:t>3.5</w:t>
      </w:r>
      <w:r>
        <w:t>-4</w:t>
      </w:r>
      <w:r>
        <w:rPr>
          <w:rFonts w:hint="eastAsia"/>
        </w:rPr>
        <w:t>分</w:t>
      </w:r>
      <w:r>
        <w:t>之间</w:t>
      </w:r>
      <w:r>
        <w:rPr>
          <w:rFonts w:hint="eastAsia"/>
        </w:rPr>
        <w:t>，</w:t>
      </w:r>
      <w:r>
        <w:t>比较不错，但还有可以加强的空间。</w:t>
      </w:r>
      <w:r>
        <w:rPr>
          <w:rFonts w:hint="eastAsia"/>
        </w:rPr>
        <w:t>根据</w:t>
      </w:r>
      <w:r>
        <w:t>学校当前</w:t>
      </w:r>
      <w:r>
        <w:rPr>
          <w:rFonts w:hint="eastAsia"/>
        </w:rPr>
        <w:t>用人单位满意度</w:t>
      </w:r>
      <w:r>
        <w:t>水平</w:t>
      </w:r>
      <w:r>
        <w:rPr>
          <w:rFonts w:hint="eastAsia"/>
        </w:rPr>
        <w:t>，</w:t>
      </w:r>
      <w:r>
        <w:t>为了学校</w:t>
      </w:r>
      <w:r>
        <w:rPr>
          <w:rFonts w:hint="eastAsia"/>
        </w:rPr>
        <w:t>及</w:t>
      </w:r>
      <w:r>
        <w:t>学校毕业生在</w:t>
      </w:r>
      <w:r>
        <w:rPr>
          <w:rFonts w:hint="eastAsia"/>
        </w:rPr>
        <w:t>社会上</w:t>
      </w:r>
      <w:r>
        <w:t>的良好声誉，湖南商学院在全面提升的基础上，应当有所针对地开展工作，从关键点入手，力求又好又快发展。</w:t>
      </w:r>
    </w:p>
    <w:p>
      <w:pPr>
        <w:pStyle w:val="40"/>
      </w:pPr>
      <w:r>
        <w:rPr>
          <w:rFonts w:hint="eastAsia"/>
        </w:rPr>
        <w:t>结合</w:t>
      </w:r>
      <w:r>
        <w:t>重要性-满意度四象限图，学校当前最需关注的指标是学校的个性化服务和对学生自主学</w:t>
      </w:r>
      <w:r>
        <w:rPr>
          <w:rFonts w:hint="eastAsia"/>
        </w:rPr>
        <w:t>习</w:t>
      </w:r>
      <w:r>
        <w:t>能力的培养。</w:t>
      </w:r>
      <w:r>
        <w:rPr>
          <w:rFonts w:hint="eastAsia"/>
        </w:rPr>
        <w:t>针对前者</w:t>
      </w:r>
      <w:r>
        <w:t>，</w:t>
      </w:r>
      <w:r>
        <w:rPr>
          <w:rFonts w:hint="eastAsia"/>
        </w:rPr>
        <w:t>学校</w:t>
      </w:r>
      <w:r>
        <w:t>应</w:t>
      </w:r>
      <w:r>
        <w:rPr>
          <w:rFonts w:hint="eastAsia"/>
        </w:rPr>
        <w:t>在毕业季成立专门的组织团队，从对外服务到对内组织工作都应经过专门的设计，保证学生不因组织失误而错过求职机会，也尽可能针对各用人单位的特殊需求提供个性化服务，提升该指标满意度；</w:t>
      </w:r>
      <w:r>
        <w:t>针对后者，</w:t>
      </w:r>
      <w:r>
        <w:rPr>
          <w:rFonts w:hint="eastAsia"/>
        </w:rPr>
        <w:t>学校应积极引入</w:t>
      </w:r>
      <w:r>
        <w:t>“</w:t>
      </w:r>
      <w:r>
        <w:rPr>
          <w:rFonts w:hint="eastAsia"/>
        </w:rPr>
        <w:t>翻转课堂</w:t>
      </w:r>
      <w:r>
        <w:t>”</w:t>
      </w:r>
      <w:r>
        <w:rPr>
          <w:rFonts w:hint="eastAsia"/>
        </w:rPr>
        <w:t>，将传统课堂翻转，学生在课下自学课程内容，课堂上在老师的引导下进行讨论与实践，</w:t>
      </w:r>
      <w:r>
        <w:t>“</w:t>
      </w:r>
      <w:r>
        <w:rPr>
          <w:rFonts w:hint="eastAsia"/>
        </w:rPr>
        <w:t>翻转课堂</w:t>
      </w:r>
      <w:r>
        <w:t>”</w:t>
      </w:r>
      <w:r>
        <w:rPr>
          <w:rFonts w:hint="eastAsia"/>
        </w:rPr>
        <w:t>的形式能够极大地提升学生的自主学习能力，帮助学生在进入社会后及时更新工作相关知识，保证在</w:t>
      </w:r>
      <w:r>
        <w:t>离校后仍能自主学习、</w:t>
      </w:r>
      <w:r>
        <w:rPr>
          <w:rFonts w:hint="eastAsia"/>
        </w:rPr>
        <w:t>自我提高。</w:t>
      </w:r>
    </w:p>
    <w:p>
      <w:pPr>
        <w:pStyle w:val="40"/>
      </w:pPr>
      <w:r>
        <w:rPr>
          <w:rFonts w:hint="eastAsia"/>
        </w:rPr>
        <w:t>可以</w:t>
      </w:r>
      <w:r>
        <w:t>看到的是，学校的档案管理及传递、人才培养、招聘场地安排对接和就业网站建设及信息服务工作均在重要性和满意度上有较好表现，</w:t>
      </w:r>
      <w:r>
        <w:rPr>
          <w:rFonts w:hint="eastAsia"/>
        </w:rPr>
        <w:t>其</w:t>
      </w:r>
      <w:r>
        <w:t>各项工作中，仅组织毕业生参会处于较低水准。</w:t>
      </w:r>
      <w:r>
        <w:rPr>
          <w:rFonts w:hint="eastAsia"/>
        </w:rPr>
        <w:t>针对</w:t>
      </w:r>
      <w:r>
        <w:t>这项工作，</w:t>
      </w:r>
      <w:r>
        <w:rPr>
          <w:rFonts w:hint="eastAsia"/>
        </w:rPr>
        <w:t>学校可以在组织毕业生参会上多加引导，使更多的毕业生可以及时获取用人单位的招聘信息，鼓励学生积极把握住每一个求职机会，通过母校推荐、参与招聘会、网上投递简历等方式，顺利找到工作，也</w:t>
      </w:r>
      <w:r>
        <w:t>由此改善用人单位对学校该工作的评价</w:t>
      </w:r>
      <w:r>
        <w:rPr>
          <w:rFonts w:hint="eastAsia"/>
        </w:rPr>
        <w:t>。</w:t>
      </w:r>
    </w:p>
    <w:p>
      <w:pPr>
        <w:pStyle w:val="40"/>
      </w:pPr>
      <w:r>
        <w:rPr>
          <w:rFonts w:hint="eastAsia"/>
        </w:rPr>
        <w:t>在</w:t>
      </w:r>
      <w:r>
        <w:t>用人单位对毕业生能力的评价中，</w:t>
      </w:r>
      <w:r>
        <w:rPr>
          <w:rFonts w:hint="eastAsia"/>
        </w:rPr>
        <w:t>抗压抗挫能力作为众</w:t>
      </w:r>
      <w:r>
        <w:t>参评指标中得分</w:t>
      </w:r>
      <w:r>
        <w:rPr>
          <w:rFonts w:hint="eastAsia"/>
        </w:rPr>
        <w:t>相对</w:t>
      </w:r>
      <w:r>
        <w:t>最低的一个，需要学校的特别关注。</w:t>
      </w:r>
      <w:r>
        <w:rPr>
          <w:rFonts w:hint="eastAsia"/>
        </w:rPr>
        <w:t>对于</w:t>
      </w:r>
      <w:r>
        <w:t>这项工作的开展，</w:t>
      </w:r>
      <w:r>
        <w:rPr>
          <w:rFonts w:hint="eastAsia"/>
        </w:rPr>
        <w:t>建议学校增加心理教育课程对学生心理素质的干预，尽可能在课程中潜移默化地强化学生的心理承受能力，教会学生调整心态。同时，大量结合实践，增加学生在校期间的实习机会，让学生提前感受职场的压力，给学生适当的缓冲期，在就业宣导中也需准备相关的压力缓解和压力调整类内容，以此来提高学生的抗压抗挫能力。</w:t>
      </w:r>
    </w:p>
    <w:p>
      <w:pPr>
        <w:pStyle w:val="40"/>
      </w:pPr>
      <w:r>
        <w:rPr>
          <w:rFonts w:hint="eastAsia"/>
        </w:rPr>
        <w:t>此外</w:t>
      </w:r>
      <w:r>
        <w:t>，根据调研数据，</w:t>
      </w:r>
      <w:r>
        <w:rPr>
          <w:rFonts w:hint="eastAsia"/>
        </w:rPr>
        <w:t>从总体</w:t>
      </w:r>
      <w:r>
        <w:t>行业</w:t>
      </w:r>
      <w:r>
        <w:rPr>
          <w:rFonts w:hint="eastAsia"/>
        </w:rPr>
        <w:t>需求</w:t>
      </w:r>
      <w:r>
        <w:t>情况来看，</w:t>
      </w:r>
      <w:r>
        <w:rPr>
          <w:rFonts w:hint="eastAsia"/>
        </w:rPr>
        <w:t>人数</w:t>
      </w:r>
      <w:r>
        <w:t>需求</w:t>
      </w:r>
      <w:r>
        <w:rPr>
          <w:rFonts w:hint="eastAsia"/>
        </w:rPr>
        <w:t>较高</w:t>
      </w:r>
      <w:r>
        <w:t>的</w:t>
      </w:r>
      <w:r>
        <w:rPr>
          <w:rFonts w:hint="eastAsia"/>
        </w:rPr>
        <w:t>行业</w:t>
      </w:r>
      <w:r>
        <w:t>主要有制造业、</w:t>
      </w:r>
      <w:r>
        <w:rPr>
          <w:rFonts w:hint="eastAsia"/>
        </w:rPr>
        <w:t>信息传输</w:t>
      </w:r>
      <w:r>
        <w:t>、软件和信息技术服务业、建筑业、</w:t>
      </w:r>
      <w:r>
        <w:rPr>
          <w:rFonts w:hint="eastAsia"/>
        </w:rPr>
        <w:t>教育</w:t>
      </w:r>
      <w:r>
        <w:t>、建筑业、批发零售业、金融业和卫生和社会工作</w:t>
      </w:r>
      <w:r>
        <w:rPr>
          <w:rFonts w:hint="eastAsia"/>
        </w:rPr>
        <w:t>。</w:t>
      </w:r>
    </w:p>
    <w:p>
      <w:pPr>
        <w:pStyle w:val="40"/>
      </w:pPr>
      <w:r>
        <w:rPr>
          <w:rFonts w:hint="eastAsia"/>
        </w:rPr>
        <w:t>从</w:t>
      </w:r>
      <w:r>
        <w:t>人员</w:t>
      </w:r>
      <w:r>
        <w:rPr>
          <w:rFonts w:hint="eastAsia"/>
        </w:rPr>
        <w:t>需求数量</w:t>
      </w:r>
      <w:r>
        <w:t>上来看，</w:t>
      </w:r>
      <w:r>
        <w:rPr>
          <w:rFonts w:hint="eastAsia"/>
        </w:rPr>
        <w:t>需求100人</w:t>
      </w:r>
      <w:r>
        <w:t>以上的</w:t>
      </w:r>
      <w:r>
        <w:rPr>
          <w:rFonts w:hint="eastAsia"/>
        </w:rPr>
        <w:t>企业</w:t>
      </w:r>
      <w:r>
        <w:t>所处行业</w:t>
      </w:r>
      <w:r>
        <w:rPr>
          <w:rFonts w:hint="eastAsia"/>
        </w:rPr>
        <w:t>需求差距较大</w:t>
      </w:r>
      <w:r>
        <w:t>，</w:t>
      </w:r>
      <w:r>
        <w:rPr>
          <w:rFonts w:hint="eastAsia"/>
        </w:rPr>
        <w:t>其中</w:t>
      </w:r>
      <w:r>
        <w:t>需求占比最大的</w:t>
      </w:r>
      <w:r>
        <w:rPr>
          <w:rFonts w:hint="eastAsia"/>
        </w:rPr>
        <w:t>行业</w:t>
      </w:r>
      <w:r>
        <w:t>是</w:t>
      </w:r>
      <w:r>
        <w:rPr>
          <w:rFonts w:hint="eastAsia"/>
        </w:rPr>
        <w:t>制造业</w:t>
      </w:r>
      <w:r>
        <w:t>，占所有</w:t>
      </w:r>
      <w:r>
        <w:rPr>
          <w:rFonts w:hint="eastAsia"/>
        </w:rPr>
        <w:t>需求100人</w:t>
      </w:r>
      <w:r>
        <w:t>以上</w:t>
      </w:r>
      <w:r>
        <w:rPr>
          <w:rFonts w:hint="eastAsia"/>
        </w:rPr>
        <w:t>行业的28.92</w:t>
      </w:r>
      <w:r>
        <w:t>%</w:t>
      </w:r>
      <w:r>
        <w:rPr>
          <w:rFonts w:hint="eastAsia"/>
        </w:rPr>
        <w:t>，</w:t>
      </w:r>
      <w:r>
        <w:t>其次是交通运输、仓储和邮政业和信息传输、软件和信息技术服务业；需求</w:t>
      </w:r>
      <w:r>
        <w:rPr>
          <w:rFonts w:hint="eastAsia"/>
        </w:rPr>
        <w:t>50-100人</w:t>
      </w:r>
      <w:r>
        <w:t>之间的行业占比最高的</w:t>
      </w:r>
      <w:r>
        <w:rPr>
          <w:rFonts w:hint="eastAsia"/>
        </w:rPr>
        <w:t>仍是</w:t>
      </w:r>
      <w:r>
        <w:t>制造业，其次是</w:t>
      </w:r>
      <w:r>
        <w:rPr>
          <w:rFonts w:hint="eastAsia"/>
        </w:rPr>
        <w:t>批发零售业</w:t>
      </w:r>
      <w:r>
        <w:t>和卫生和社会工作</w:t>
      </w:r>
      <w:r>
        <w:rPr>
          <w:rFonts w:hint="eastAsia"/>
        </w:rPr>
        <w:t>；需求21-50人</w:t>
      </w:r>
      <w:r>
        <w:t>之间的</w:t>
      </w:r>
      <w:r>
        <w:rPr>
          <w:rFonts w:hint="eastAsia"/>
        </w:rPr>
        <w:t>行业</w:t>
      </w:r>
      <w:r>
        <w:t>占比</w:t>
      </w:r>
      <w:r>
        <w:rPr>
          <w:rFonts w:hint="eastAsia"/>
        </w:rPr>
        <w:t>最高的依然是</w:t>
      </w:r>
      <w:r>
        <w:t>制造业，</w:t>
      </w:r>
      <w:r>
        <w:rPr>
          <w:rFonts w:hint="eastAsia"/>
        </w:rPr>
        <w:t>占到20.77</w:t>
      </w:r>
      <w:r>
        <w:t>%，接下来是</w:t>
      </w:r>
      <w:r>
        <w:rPr>
          <w:rFonts w:hint="eastAsia"/>
        </w:rPr>
        <w:t>信息传输</w:t>
      </w:r>
      <w:r>
        <w:t>、软件和信息技术服务业和</w:t>
      </w:r>
      <w:r>
        <w:rPr>
          <w:rFonts w:hint="eastAsia"/>
        </w:rPr>
        <w:t>建筑业，</w:t>
      </w:r>
      <w:r>
        <w:t>占比各</w:t>
      </w:r>
      <w:r>
        <w:rPr>
          <w:rFonts w:hint="eastAsia"/>
        </w:rPr>
        <w:t>为10.00</w:t>
      </w:r>
      <w:r>
        <w:t>%</w:t>
      </w:r>
      <w:r>
        <w:rPr>
          <w:rFonts w:hint="eastAsia"/>
        </w:rPr>
        <w:t>；</w:t>
      </w:r>
      <w:r>
        <w:t>分析需求</w:t>
      </w:r>
      <w:r>
        <w:rPr>
          <w:rFonts w:hint="eastAsia"/>
        </w:rPr>
        <w:t>11-20人的</w:t>
      </w:r>
      <w:r>
        <w:t>行业占比中，占比最高的是教育</w:t>
      </w:r>
      <w:r>
        <w:rPr>
          <w:rFonts w:hint="eastAsia"/>
        </w:rPr>
        <w:t>业</w:t>
      </w:r>
      <w:r>
        <w:t>，</w:t>
      </w:r>
      <w:r>
        <w:rPr>
          <w:rFonts w:hint="eastAsia"/>
        </w:rPr>
        <w:t>为13.81</w:t>
      </w:r>
      <w:r>
        <w:t>%</w:t>
      </w:r>
      <w:r>
        <w:rPr>
          <w:rFonts w:hint="eastAsia"/>
        </w:rPr>
        <w:t>；</w:t>
      </w:r>
      <w:r>
        <w:t>而</w:t>
      </w:r>
      <w:r>
        <w:rPr>
          <w:rFonts w:hint="eastAsia"/>
        </w:rPr>
        <w:t>需求5-10人</w:t>
      </w:r>
      <w:r>
        <w:t>的行业占比最高的是教育</w:t>
      </w:r>
      <w:r>
        <w:rPr>
          <w:rFonts w:hint="eastAsia"/>
        </w:rPr>
        <w:t>业</w:t>
      </w:r>
      <w:r>
        <w:t>，需求</w:t>
      </w:r>
      <w:r>
        <w:rPr>
          <w:rFonts w:hint="eastAsia"/>
        </w:rPr>
        <w:t>5人以下</w:t>
      </w:r>
      <w:r>
        <w:t>占比较高的是</w:t>
      </w:r>
      <w:r>
        <w:rPr>
          <w:rFonts w:hint="eastAsia"/>
        </w:rPr>
        <w:t>教育业</w:t>
      </w:r>
      <w:r>
        <w:t>。</w:t>
      </w:r>
      <w:r>
        <w:rPr>
          <w:rFonts w:hint="eastAsia"/>
        </w:rPr>
        <w:t>综合</w:t>
      </w:r>
      <w:r>
        <w:t>来看，</w:t>
      </w:r>
      <w:r>
        <w:rPr>
          <w:rFonts w:hint="eastAsia"/>
        </w:rPr>
        <w:t>制造业</w:t>
      </w:r>
      <w:r>
        <w:t>是需求最大行业，其次是</w:t>
      </w:r>
      <w:r>
        <w:rPr>
          <w:rFonts w:hint="eastAsia"/>
        </w:rPr>
        <w:t>信息传输</w:t>
      </w:r>
      <w:r>
        <w:t>、软件和信息技术服务业</w:t>
      </w:r>
      <w:r>
        <w:rPr>
          <w:rFonts w:hint="eastAsia"/>
        </w:rPr>
        <w:t>，</w:t>
      </w:r>
      <w:r>
        <w:t>具体的占比情况详见表</w:t>
      </w:r>
      <w:r>
        <w:rPr>
          <w:rFonts w:hint="eastAsia"/>
        </w:rPr>
        <w:t>6</w:t>
      </w:r>
      <w:r>
        <w:t>-11。</w:t>
      </w:r>
    </w:p>
    <w:p>
      <w:pPr>
        <w:pStyle w:val="8"/>
        <w:jc w:val="center"/>
        <w:rPr>
          <w:rFonts w:asciiTheme="minorEastAsia" w:hAnsiTheme="minorEastAsia" w:eastAsiaTheme="minorEastAsia"/>
          <w:sz w:val="18"/>
          <w:szCs w:val="18"/>
        </w:rPr>
      </w:pPr>
      <w:bookmarkStart w:id="391" w:name="_Toc467239770"/>
      <w:bookmarkStart w:id="392" w:name="_Toc470886962"/>
      <w:r>
        <w:rPr>
          <w:rFonts w:hint="eastAsia" w:asciiTheme="minorEastAsia" w:hAnsiTheme="minorEastAsia" w:eastAsiaTheme="minorEastAsia"/>
          <w:sz w:val="18"/>
          <w:szCs w:val="18"/>
        </w:rPr>
        <w:t>表6-</w:t>
      </w:r>
      <w:r>
        <w:rPr>
          <w:rFonts w:asciiTheme="minorEastAsia" w:hAnsiTheme="minorEastAsia" w:eastAsiaTheme="minorEastAsia"/>
          <w:sz w:val="18"/>
          <w:szCs w:val="18"/>
        </w:rPr>
        <w:fldChar w:fldCharType="begin"/>
      </w:r>
      <w:r>
        <w:rPr>
          <w:rFonts w:asciiTheme="minorEastAsia" w:hAnsiTheme="minorEastAsia" w:eastAsiaTheme="minorEastAsia"/>
          <w:sz w:val="18"/>
          <w:szCs w:val="18"/>
        </w:rPr>
        <w:instrText xml:space="preserve"> </w:instrText>
      </w:r>
      <w:r>
        <w:rPr>
          <w:rFonts w:hint="eastAsia" w:asciiTheme="minorEastAsia" w:hAnsiTheme="minorEastAsia" w:eastAsiaTheme="minorEastAsia"/>
          <w:sz w:val="18"/>
          <w:szCs w:val="18"/>
        </w:rPr>
        <w:instrText xml:space="preserve">SEQ 表6- \* ARABIC</w:instrText>
      </w:r>
      <w:r>
        <w:rPr>
          <w:rFonts w:asciiTheme="minorEastAsia" w:hAnsiTheme="minorEastAsia" w:eastAsiaTheme="minorEastAsia"/>
          <w:sz w:val="18"/>
          <w:szCs w:val="18"/>
        </w:rPr>
        <w:instrText xml:space="preserve"> </w:instrText>
      </w:r>
      <w:r>
        <w:rPr>
          <w:rFonts w:asciiTheme="minorEastAsia" w:hAnsiTheme="minorEastAsia" w:eastAsiaTheme="minorEastAsia"/>
          <w:sz w:val="18"/>
          <w:szCs w:val="18"/>
        </w:rPr>
        <w:fldChar w:fldCharType="separate"/>
      </w:r>
      <w:r>
        <w:rPr>
          <w:rFonts w:asciiTheme="minorEastAsia" w:hAnsiTheme="minorEastAsia" w:eastAsiaTheme="minorEastAsia"/>
          <w:sz w:val="18"/>
          <w:szCs w:val="18"/>
        </w:rPr>
        <w:t>11</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 xml:space="preserve"> </w:t>
      </w:r>
      <w:r>
        <w:rPr>
          <w:rFonts w:hint="eastAsia" w:cs="宋体" w:asciiTheme="minorEastAsia" w:hAnsiTheme="minorEastAsia" w:eastAsiaTheme="minorEastAsia"/>
          <w:sz w:val="18"/>
          <w:szCs w:val="18"/>
        </w:rPr>
        <w:t>行业需求情况</w:t>
      </w:r>
      <w:bookmarkEnd w:id="391"/>
      <w:bookmarkEnd w:id="392"/>
    </w:p>
    <w:tbl>
      <w:tblPr>
        <w:tblStyle w:val="50"/>
        <w:tblW w:w="9499" w:type="dxa"/>
        <w:jc w:val="center"/>
        <w:tblInd w:w="0" w:type="dxa"/>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
      <w:tblGrid>
        <w:gridCol w:w="3120"/>
        <w:gridCol w:w="992"/>
        <w:gridCol w:w="925"/>
        <w:gridCol w:w="1203"/>
        <w:gridCol w:w="992"/>
        <w:gridCol w:w="992"/>
        <w:gridCol w:w="1275"/>
      </w:tblGrid>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3120" w:type="dxa"/>
            <w:tcBorders>
              <w:top w:val="single" w:color="ED7D31" w:themeColor="accent2" w:sz="4" w:space="0"/>
              <w:left w:val="single" w:color="ED7D31" w:themeColor="accent2" w:sz="4" w:space="0"/>
              <w:bottom w:val="single" w:color="ED7D31" w:themeColor="accent2" w:sz="4" w:space="0"/>
              <w:right w:val="nil"/>
              <w:insideH w:val="single" w:sz="4" w:space="0"/>
              <w:insideV w:val="nil"/>
            </w:tcBorders>
            <w:shd w:val="clear" w:color="auto" w:fill="ED7D31" w:themeFill="accent2"/>
          </w:tcPr>
          <w:p>
            <w:pPr>
              <w:widowControl/>
              <w:jc w:val="center"/>
              <w:rPr>
                <w:rFonts w:ascii="宋体" w:hAnsi="宋体" w:eastAsia="宋体" w:cs="宋体"/>
                <w:b/>
                <w:bCs/>
                <w:color w:val="FFFFFF" w:themeColor="background1"/>
                <w:kern w:val="0"/>
                <w:sz w:val="18"/>
                <w:szCs w:val="18"/>
                <w14:textFill>
                  <w14:solidFill>
                    <w14:schemeClr w14:val="bg1"/>
                  </w14:solidFill>
                </w14:textFill>
              </w:rPr>
            </w:pPr>
            <w:r>
              <w:rPr>
                <w:rFonts w:hint="eastAsia" w:ascii="宋体" w:hAnsi="宋体" w:eastAsia="宋体" w:cs="宋体"/>
                <w:b/>
                <w:bCs/>
                <w:color w:val="FFFFFF" w:themeColor="background1"/>
                <w:kern w:val="0"/>
                <w:sz w:val="18"/>
                <w:szCs w:val="18"/>
                <w14:textFill>
                  <w14:solidFill>
                    <w14:schemeClr w14:val="bg1"/>
                  </w14:solidFill>
                </w14:textFill>
              </w:rPr>
              <w:t>行业</w:t>
            </w:r>
          </w:p>
        </w:tc>
        <w:tc>
          <w:tcPr>
            <w:tcW w:w="992" w:type="dxa"/>
            <w:tcBorders>
              <w:top w:val="single" w:color="ED7D31" w:themeColor="accent2" w:sz="4" w:space="0"/>
              <w:bottom w:val="single" w:color="ED7D31" w:themeColor="accent2" w:sz="4" w:space="0"/>
              <w:right w:val="nil"/>
              <w:insideH w:val="single" w:sz="4" w:space="0"/>
              <w:insideV w:val="nil"/>
            </w:tcBorders>
            <w:shd w:val="clear" w:color="auto" w:fill="ED7D31" w:themeFill="accent2"/>
          </w:tcPr>
          <w:p>
            <w:pPr>
              <w:widowControl/>
              <w:jc w:val="center"/>
              <w:rPr>
                <w:rFonts w:ascii="宋体" w:hAnsi="宋体" w:eastAsia="宋体" w:cs="宋体"/>
                <w:b/>
                <w:bCs/>
                <w:color w:val="FFFFFF" w:themeColor="background1"/>
                <w:kern w:val="0"/>
                <w:sz w:val="18"/>
                <w:szCs w:val="18"/>
                <w14:textFill>
                  <w14:solidFill>
                    <w14:schemeClr w14:val="bg1"/>
                  </w14:solidFill>
                </w14:textFill>
              </w:rPr>
            </w:pPr>
            <w:r>
              <w:rPr>
                <w:rFonts w:hint="eastAsia" w:ascii="宋体" w:hAnsi="宋体" w:eastAsia="宋体" w:cs="宋体"/>
                <w:b/>
                <w:bCs/>
                <w:color w:val="FFFFFF" w:themeColor="background1"/>
                <w:kern w:val="0"/>
                <w:sz w:val="18"/>
                <w:szCs w:val="18"/>
                <w14:textFill>
                  <w14:solidFill>
                    <w14:schemeClr w14:val="bg1"/>
                  </w14:solidFill>
                </w14:textFill>
              </w:rPr>
              <w:t>5人以下</w:t>
            </w:r>
          </w:p>
        </w:tc>
        <w:tc>
          <w:tcPr>
            <w:tcW w:w="925" w:type="dxa"/>
            <w:tcBorders>
              <w:top w:val="single" w:color="ED7D31" w:themeColor="accent2" w:sz="4" w:space="0"/>
              <w:bottom w:val="single" w:color="ED7D31" w:themeColor="accent2" w:sz="4" w:space="0"/>
              <w:right w:val="nil"/>
              <w:insideH w:val="single" w:sz="4" w:space="0"/>
              <w:insideV w:val="nil"/>
            </w:tcBorders>
            <w:shd w:val="clear" w:color="auto" w:fill="ED7D31" w:themeFill="accent2"/>
          </w:tcPr>
          <w:p>
            <w:pPr>
              <w:widowControl/>
              <w:jc w:val="center"/>
              <w:rPr>
                <w:rFonts w:ascii="宋体" w:hAnsi="宋体" w:eastAsia="宋体" w:cs="宋体"/>
                <w:b/>
                <w:bCs/>
                <w:color w:val="FFFFFF" w:themeColor="background1"/>
                <w:kern w:val="0"/>
                <w:sz w:val="18"/>
                <w:szCs w:val="18"/>
                <w14:textFill>
                  <w14:solidFill>
                    <w14:schemeClr w14:val="bg1"/>
                  </w14:solidFill>
                </w14:textFill>
              </w:rPr>
            </w:pPr>
            <w:r>
              <w:rPr>
                <w:rFonts w:hint="eastAsia" w:ascii="宋体" w:hAnsi="宋体" w:eastAsia="宋体" w:cs="宋体"/>
                <w:b/>
                <w:bCs/>
                <w:color w:val="FFFFFF" w:themeColor="background1"/>
                <w:kern w:val="0"/>
                <w:sz w:val="18"/>
                <w:szCs w:val="18"/>
                <w14:textFill>
                  <w14:solidFill>
                    <w14:schemeClr w14:val="bg1"/>
                  </w14:solidFill>
                </w14:textFill>
              </w:rPr>
              <w:t>5-10人</w:t>
            </w:r>
          </w:p>
        </w:tc>
        <w:tc>
          <w:tcPr>
            <w:tcW w:w="1203" w:type="dxa"/>
            <w:tcBorders>
              <w:top w:val="single" w:color="ED7D31" w:themeColor="accent2" w:sz="4" w:space="0"/>
              <w:bottom w:val="single" w:color="ED7D31" w:themeColor="accent2" w:sz="4" w:space="0"/>
              <w:right w:val="nil"/>
              <w:insideH w:val="single" w:sz="4" w:space="0"/>
              <w:insideV w:val="nil"/>
            </w:tcBorders>
            <w:shd w:val="clear" w:color="auto" w:fill="ED7D31" w:themeFill="accent2"/>
          </w:tcPr>
          <w:p>
            <w:pPr>
              <w:widowControl/>
              <w:jc w:val="center"/>
              <w:rPr>
                <w:rFonts w:ascii="宋体" w:hAnsi="宋体" w:eastAsia="宋体" w:cs="宋体"/>
                <w:b/>
                <w:bCs/>
                <w:color w:val="FFFFFF" w:themeColor="background1"/>
                <w:kern w:val="0"/>
                <w:sz w:val="18"/>
                <w:szCs w:val="18"/>
                <w14:textFill>
                  <w14:solidFill>
                    <w14:schemeClr w14:val="bg1"/>
                  </w14:solidFill>
                </w14:textFill>
              </w:rPr>
            </w:pPr>
            <w:r>
              <w:rPr>
                <w:rFonts w:hint="eastAsia" w:ascii="宋体" w:hAnsi="宋体" w:eastAsia="宋体" w:cs="宋体"/>
                <w:b/>
                <w:bCs/>
                <w:color w:val="FFFFFF" w:themeColor="background1"/>
                <w:kern w:val="0"/>
                <w:sz w:val="18"/>
                <w:szCs w:val="18"/>
                <w14:textFill>
                  <w14:solidFill>
                    <w14:schemeClr w14:val="bg1"/>
                  </w14:solidFill>
                </w14:textFill>
              </w:rPr>
              <w:t>11-20人</w:t>
            </w:r>
          </w:p>
        </w:tc>
        <w:tc>
          <w:tcPr>
            <w:tcW w:w="992" w:type="dxa"/>
            <w:tcBorders>
              <w:top w:val="single" w:color="ED7D31" w:themeColor="accent2" w:sz="4" w:space="0"/>
              <w:bottom w:val="single" w:color="ED7D31" w:themeColor="accent2" w:sz="4" w:space="0"/>
              <w:right w:val="nil"/>
              <w:insideH w:val="single" w:sz="4" w:space="0"/>
              <w:insideV w:val="nil"/>
            </w:tcBorders>
            <w:shd w:val="clear" w:color="auto" w:fill="ED7D31" w:themeFill="accent2"/>
          </w:tcPr>
          <w:p>
            <w:pPr>
              <w:widowControl/>
              <w:jc w:val="center"/>
              <w:rPr>
                <w:rFonts w:ascii="宋体" w:hAnsi="宋体" w:eastAsia="宋体" w:cs="宋体"/>
                <w:b/>
                <w:bCs/>
                <w:color w:val="FFFFFF" w:themeColor="background1"/>
                <w:kern w:val="0"/>
                <w:sz w:val="18"/>
                <w:szCs w:val="18"/>
                <w14:textFill>
                  <w14:solidFill>
                    <w14:schemeClr w14:val="bg1"/>
                  </w14:solidFill>
                </w14:textFill>
              </w:rPr>
            </w:pPr>
            <w:r>
              <w:rPr>
                <w:rFonts w:hint="eastAsia" w:ascii="宋体" w:hAnsi="宋体" w:eastAsia="宋体" w:cs="宋体"/>
                <w:b/>
                <w:bCs/>
                <w:color w:val="FFFFFF" w:themeColor="background1"/>
                <w:kern w:val="0"/>
                <w:sz w:val="18"/>
                <w:szCs w:val="18"/>
                <w14:textFill>
                  <w14:solidFill>
                    <w14:schemeClr w14:val="bg1"/>
                  </w14:solidFill>
                </w14:textFill>
              </w:rPr>
              <w:t>21-50人</w:t>
            </w:r>
          </w:p>
        </w:tc>
        <w:tc>
          <w:tcPr>
            <w:tcW w:w="992" w:type="dxa"/>
            <w:tcBorders>
              <w:top w:val="single" w:color="ED7D31" w:themeColor="accent2" w:sz="4" w:space="0"/>
              <w:bottom w:val="single" w:color="ED7D31" w:themeColor="accent2" w:sz="4" w:space="0"/>
              <w:right w:val="nil"/>
              <w:insideH w:val="single" w:sz="4" w:space="0"/>
              <w:insideV w:val="nil"/>
            </w:tcBorders>
            <w:shd w:val="clear" w:color="auto" w:fill="ED7D31" w:themeFill="accent2"/>
          </w:tcPr>
          <w:p>
            <w:pPr>
              <w:widowControl/>
              <w:jc w:val="center"/>
              <w:rPr>
                <w:rFonts w:ascii="宋体" w:hAnsi="宋体" w:eastAsia="宋体" w:cs="宋体"/>
                <w:b/>
                <w:bCs/>
                <w:color w:val="FFFFFF" w:themeColor="background1"/>
                <w:kern w:val="0"/>
                <w:sz w:val="18"/>
                <w:szCs w:val="18"/>
                <w14:textFill>
                  <w14:solidFill>
                    <w14:schemeClr w14:val="bg1"/>
                  </w14:solidFill>
                </w14:textFill>
              </w:rPr>
            </w:pPr>
            <w:r>
              <w:rPr>
                <w:rFonts w:hint="eastAsia" w:ascii="宋体" w:hAnsi="宋体" w:eastAsia="宋体" w:cs="宋体"/>
                <w:b/>
                <w:bCs/>
                <w:color w:val="FFFFFF" w:themeColor="background1"/>
                <w:kern w:val="0"/>
                <w:sz w:val="18"/>
                <w:szCs w:val="18"/>
                <w14:textFill>
                  <w14:solidFill>
                    <w14:schemeClr w14:val="bg1"/>
                  </w14:solidFill>
                </w14:textFill>
              </w:rPr>
              <w:t>50-100人</w:t>
            </w:r>
          </w:p>
        </w:tc>
        <w:tc>
          <w:tcPr>
            <w:tcW w:w="1275" w:type="dxa"/>
            <w:tcBorders>
              <w:top w:val="single" w:color="ED7D31" w:themeColor="accent2" w:sz="4" w:space="0"/>
              <w:bottom w:val="single" w:color="ED7D31" w:themeColor="accent2" w:sz="4" w:space="0"/>
              <w:right w:val="single" w:color="ED7D31" w:themeColor="accent2" w:sz="4" w:space="0"/>
              <w:insideH w:val="single" w:sz="4" w:space="0"/>
              <w:insideV w:val="nil"/>
            </w:tcBorders>
            <w:shd w:val="clear" w:color="auto" w:fill="ED7D31" w:themeFill="accent2"/>
          </w:tcPr>
          <w:p>
            <w:pPr>
              <w:widowControl/>
              <w:jc w:val="center"/>
              <w:rPr>
                <w:rFonts w:ascii="宋体" w:hAnsi="宋体" w:eastAsia="宋体" w:cs="宋体"/>
                <w:b/>
                <w:bCs/>
                <w:color w:val="FFFFFF" w:themeColor="background1"/>
                <w:kern w:val="0"/>
                <w:sz w:val="18"/>
                <w:szCs w:val="18"/>
                <w14:textFill>
                  <w14:solidFill>
                    <w14:schemeClr w14:val="bg1"/>
                  </w14:solidFill>
                </w14:textFill>
              </w:rPr>
            </w:pPr>
            <w:r>
              <w:rPr>
                <w:rFonts w:hint="eastAsia" w:ascii="宋体" w:hAnsi="宋体" w:eastAsia="宋体" w:cs="宋体"/>
                <w:b/>
                <w:bCs/>
                <w:color w:val="FFFFFF" w:themeColor="background1"/>
                <w:kern w:val="0"/>
                <w:sz w:val="18"/>
                <w:szCs w:val="18"/>
                <w14:textFill>
                  <w14:solidFill>
                    <w14:schemeClr w14:val="bg1"/>
                  </w14:solidFill>
                </w14:textFill>
              </w:rPr>
              <w:t>100人以上</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3120" w:type="dxa"/>
            <w:shd w:val="clear" w:color="auto" w:fill="FBE4D5" w:themeFill="accent2" w:themeFillTint="33"/>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制造业</w:t>
            </w:r>
          </w:p>
        </w:tc>
        <w:tc>
          <w:tcPr>
            <w:tcW w:w="992"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8.29</w:t>
            </w:r>
          </w:p>
        </w:tc>
        <w:tc>
          <w:tcPr>
            <w:tcW w:w="925"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13.37</w:t>
            </w:r>
          </w:p>
        </w:tc>
        <w:tc>
          <w:tcPr>
            <w:tcW w:w="1203"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12.71</w:t>
            </w:r>
          </w:p>
        </w:tc>
        <w:tc>
          <w:tcPr>
            <w:tcW w:w="992"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20.77</w:t>
            </w:r>
          </w:p>
        </w:tc>
        <w:tc>
          <w:tcPr>
            <w:tcW w:w="992"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22.34</w:t>
            </w:r>
          </w:p>
        </w:tc>
        <w:tc>
          <w:tcPr>
            <w:tcW w:w="1275"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28.92</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3120" w:type="dxa"/>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交通运输、仓储和邮政业</w:t>
            </w:r>
          </w:p>
        </w:tc>
        <w:tc>
          <w:tcPr>
            <w:tcW w:w="992"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1.42</w:t>
            </w:r>
          </w:p>
        </w:tc>
        <w:tc>
          <w:tcPr>
            <w:tcW w:w="925"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1.49</w:t>
            </w:r>
          </w:p>
        </w:tc>
        <w:tc>
          <w:tcPr>
            <w:tcW w:w="1203"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3.59</w:t>
            </w:r>
          </w:p>
        </w:tc>
        <w:tc>
          <w:tcPr>
            <w:tcW w:w="992"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2.05</w:t>
            </w:r>
          </w:p>
        </w:tc>
        <w:tc>
          <w:tcPr>
            <w:tcW w:w="992"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3.66</w:t>
            </w:r>
          </w:p>
        </w:tc>
        <w:tc>
          <w:tcPr>
            <w:tcW w:w="1275"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9.16</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3120" w:type="dxa"/>
            <w:shd w:val="clear" w:color="auto" w:fill="FBE4D5" w:themeFill="accent2" w:themeFillTint="33"/>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信息传输、软件和信息技术服务业</w:t>
            </w:r>
          </w:p>
        </w:tc>
        <w:tc>
          <w:tcPr>
            <w:tcW w:w="992"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7.82</w:t>
            </w:r>
          </w:p>
        </w:tc>
        <w:tc>
          <w:tcPr>
            <w:tcW w:w="925"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10.15</w:t>
            </w:r>
          </w:p>
        </w:tc>
        <w:tc>
          <w:tcPr>
            <w:tcW w:w="1203"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11.60</w:t>
            </w:r>
          </w:p>
        </w:tc>
        <w:tc>
          <w:tcPr>
            <w:tcW w:w="992"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10.00</w:t>
            </w:r>
          </w:p>
        </w:tc>
        <w:tc>
          <w:tcPr>
            <w:tcW w:w="992"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9.89</w:t>
            </w:r>
          </w:p>
        </w:tc>
        <w:tc>
          <w:tcPr>
            <w:tcW w:w="1275"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9.16</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3120" w:type="dxa"/>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建筑业</w:t>
            </w:r>
          </w:p>
        </w:tc>
        <w:tc>
          <w:tcPr>
            <w:tcW w:w="992"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8.06</w:t>
            </w:r>
          </w:p>
        </w:tc>
        <w:tc>
          <w:tcPr>
            <w:tcW w:w="925"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6.93</w:t>
            </w:r>
          </w:p>
        </w:tc>
        <w:tc>
          <w:tcPr>
            <w:tcW w:w="1203"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6.91</w:t>
            </w:r>
          </w:p>
        </w:tc>
        <w:tc>
          <w:tcPr>
            <w:tcW w:w="992"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10.00</w:t>
            </w:r>
          </w:p>
        </w:tc>
        <w:tc>
          <w:tcPr>
            <w:tcW w:w="992"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8.42</w:t>
            </w:r>
          </w:p>
        </w:tc>
        <w:tc>
          <w:tcPr>
            <w:tcW w:w="1275"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8.92</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3120" w:type="dxa"/>
            <w:shd w:val="clear" w:color="auto" w:fill="FBE4D5" w:themeFill="accent2" w:themeFillTint="33"/>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教育</w:t>
            </w:r>
          </w:p>
        </w:tc>
        <w:tc>
          <w:tcPr>
            <w:tcW w:w="992"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18.48</w:t>
            </w:r>
          </w:p>
        </w:tc>
        <w:tc>
          <w:tcPr>
            <w:tcW w:w="925"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20.05</w:t>
            </w:r>
          </w:p>
        </w:tc>
        <w:tc>
          <w:tcPr>
            <w:tcW w:w="1203"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13.81</w:t>
            </w:r>
          </w:p>
        </w:tc>
        <w:tc>
          <w:tcPr>
            <w:tcW w:w="992"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9.74</w:t>
            </w:r>
          </w:p>
        </w:tc>
        <w:tc>
          <w:tcPr>
            <w:tcW w:w="992"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7.69</w:t>
            </w:r>
          </w:p>
        </w:tc>
        <w:tc>
          <w:tcPr>
            <w:tcW w:w="1275"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7.95</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3120" w:type="dxa"/>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批发和零售业</w:t>
            </w:r>
          </w:p>
        </w:tc>
        <w:tc>
          <w:tcPr>
            <w:tcW w:w="992"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6.40</w:t>
            </w:r>
          </w:p>
        </w:tc>
        <w:tc>
          <w:tcPr>
            <w:tcW w:w="925"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7.67</w:t>
            </w:r>
          </w:p>
        </w:tc>
        <w:tc>
          <w:tcPr>
            <w:tcW w:w="1203"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7.73</w:t>
            </w:r>
          </w:p>
        </w:tc>
        <w:tc>
          <w:tcPr>
            <w:tcW w:w="992"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7.44</w:t>
            </w:r>
          </w:p>
        </w:tc>
        <w:tc>
          <w:tcPr>
            <w:tcW w:w="992"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11.72</w:t>
            </w:r>
          </w:p>
        </w:tc>
        <w:tc>
          <w:tcPr>
            <w:tcW w:w="1275"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7.23</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3120" w:type="dxa"/>
            <w:shd w:val="clear" w:color="auto" w:fill="FBE4D5" w:themeFill="accent2" w:themeFillTint="33"/>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金融业</w:t>
            </w:r>
          </w:p>
        </w:tc>
        <w:tc>
          <w:tcPr>
            <w:tcW w:w="992"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4.50</w:t>
            </w:r>
          </w:p>
        </w:tc>
        <w:tc>
          <w:tcPr>
            <w:tcW w:w="925"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4.46</w:t>
            </w:r>
          </w:p>
        </w:tc>
        <w:tc>
          <w:tcPr>
            <w:tcW w:w="1203"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7.46</w:t>
            </w:r>
          </w:p>
        </w:tc>
        <w:tc>
          <w:tcPr>
            <w:tcW w:w="992"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7.44</w:t>
            </w:r>
          </w:p>
        </w:tc>
        <w:tc>
          <w:tcPr>
            <w:tcW w:w="992"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6.23</w:t>
            </w:r>
          </w:p>
        </w:tc>
        <w:tc>
          <w:tcPr>
            <w:tcW w:w="1275"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6.75</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3120" w:type="dxa"/>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卫生和社会工作</w:t>
            </w:r>
          </w:p>
        </w:tc>
        <w:tc>
          <w:tcPr>
            <w:tcW w:w="992"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7.58</w:t>
            </w:r>
          </w:p>
        </w:tc>
        <w:tc>
          <w:tcPr>
            <w:tcW w:w="925"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6.19</w:t>
            </w:r>
          </w:p>
        </w:tc>
        <w:tc>
          <w:tcPr>
            <w:tcW w:w="1203"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6.08</w:t>
            </w:r>
          </w:p>
        </w:tc>
        <w:tc>
          <w:tcPr>
            <w:tcW w:w="992"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7.95</w:t>
            </w:r>
          </w:p>
        </w:tc>
        <w:tc>
          <w:tcPr>
            <w:tcW w:w="992"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11.72</w:t>
            </w:r>
          </w:p>
        </w:tc>
        <w:tc>
          <w:tcPr>
            <w:tcW w:w="1275"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6.02</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3120" w:type="dxa"/>
            <w:shd w:val="clear" w:color="auto" w:fill="FBE4D5" w:themeFill="accent2" w:themeFillTint="33"/>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电力、热力、燃气及水生产和供应业</w:t>
            </w:r>
          </w:p>
        </w:tc>
        <w:tc>
          <w:tcPr>
            <w:tcW w:w="992"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1.66</w:t>
            </w:r>
          </w:p>
        </w:tc>
        <w:tc>
          <w:tcPr>
            <w:tcW w:w="925"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1.98</w:t>
            </w:r>
          </w:p>
        </w:tc>
        <w:tc>
          <w:tcPr>
            <w:tcW w:w="1203"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1.93</w:t>
            </w:r>
          </w:p>
        </w:tc>
        <w:tc>
          <w:tcPr>
            <w:tcW w:w="992"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3.08</w:t>
            </w:r>
          </w:p>
        </w:tc>
        <w:tc>
          <w:tcPr>
            <w:tcW w:w="992"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0.73</w:t>
            </w:r>
          </w:p>
        </w:tc>
        <w:tc>
          <w:tcPr>
            <w:tcW w:w="1275"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3.86</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3120" w:type="dxa"/>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住宿和餐饮业</w:t>
            </w:r>
          </w:p>
        </w:tc>
        <w:tc>
          <w:tcPr>
            <w:tcW w:w="992"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0.47</w:t>
            </w:r>
          </w:p>
        </w:tc>
        <w:tc>
          <w:tcPr>
            <w:tcW w:w="925"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1.98</w:t>
            </w:r>
          </w:p>
        </w:tc>
        <w:tc>
          <w:tcPr>
            <w:tcW w:w="1203"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6.35</w:t>
            </w:r>
          </w:p>
        </w:tc>
        <w:tc>
          <w:tcPr>
            <w:tcW w:w="992"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5.13</w:t>
            </w:r>
          </w:p>
        </w:tc>
        <w:tc>
          <w:tcPr>
            <w:tcW w:w="992"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2.56</w:t>
            </w:r>
          </w:p>
        </w:tc>
        <w:tc>
          <w:tcPr>
            <w:tcW w:w="1275"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2.65</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3120" w:type="dxa"/>
            <w:shd w:val="clear" w:color="auto" w:fill="FBE4D5" w:themeFill="accent2" w:themeFillTint="33"/>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房地产业</w:t>
            </w:r>
          </w:p>
        </w:tc>
        <w:tc>
          <w:tcPr>
            <w:tcW w:w="992"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1.18</w:t>
            </w:r>
          </w:p>
        </w:tc>
        <w:tc>
          <w:tcPr>
            <w:tcW w:w="925"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0.99</w:t>
            </w:r>
          </w:p>
        </w:tc>
        <w:tc>
          <w:tcPr>
            <w:tcW w:w="1203"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0.83</w:t>
            </w:r>
          </w:p>
        </w:tc>
        <w:tc>
          <w:tcPr>
            <w:tcW w:w="992"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3.59</w:t>
            </w:r>
          </w:p>
        </w:tc>
        <w:tc>
          <w:tcPr>
            <w:tcW w:w="992"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4.40</w:t>
            </w:r>
          </w:p>
        </w:tc>
        <w:tc>
          <w:tcPr>
            <w:tcW w:w="1275"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1.93</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3120" w:type="dxa"/>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水利、环境和公共设施管理业</w:t>
            </w:r>
          </w:p>
        </w:tc>
        <w:tc>
          <w:tcPr>
            <w:tcW w:w="992"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2.61</w:t>
            </w:r>
          </w:p>
        </w:tc>
        <w:tc>
          <w:tcPr>
            <w:tcW w:w="925"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1.98</w:t>
            </w:r>
          </w:p>
        </w:tc>
        <w:tc>
          <w:tcPr>
            <w:tcW w:w="1203"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1.38</w:t>
            </w:r>
          </w:p>
        </w:tc>
        <w:tc>
          <w:tcPr>
            <w:tcW w:w="992"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0.26</w:t>
            </w:r>
          </w:p>
        </w:tc>
        <w:tc>
          <w:tcPr>
            <w:tcW w:w="992"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1.47</w:t>
            </w:r>
          </w:p>
        </w:tc>
        <w:tc>
          <w:tcPr>
            <w:tcW w:w="1275"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1.69</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3120" w:type="dxa"/>
            <w:shd w:val="clear" w:color="auto" w:fill="FBE4D5" w:themeFill="accent2" w:themeFillTint="33"/>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居民服务、修理和其他服务业</w:t>
            </w:r>
          </w:p>
        </w:tc>
        <w:tc>
          <w:tcPr>
            <w:tcW w:w="992"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2.61</w:t>
            </w:r>
          </w:p>
        </w:tc>
        <w:tc>
          <w:tcPr>
            <w:tcW w:w="925"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2.72</w:t>
            </w:r>
          </w:p>
        </w:tc>
        <w:tc>
          <w:tcPr>
            <w:tcW w:w="1203"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2.21</w:t>
            </w:r>
          </w:p>
        </w:tc>
        <w:tc>
          <w:tcPr>
            <w:tcW w:w="992"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2.56</w:t>
            </w:r>
          </w:p>
        </w:tc>
        <w:tc>
          <w:tcPr>
            <w:tcW w:w="992"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2.93</w:t>
            </w:r>
          </w:p>
        </w:tc>
        <w:tc>
          <w:tcPr>
            <w:tcW w:w="1275"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1.45</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3120" w:type="dxa"/>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文化、体育和娱乐业</w:t>
            </w:r>
          </w:p>
        </w:tc>
        <w:tc>
          <w:tcPr>
            <w:tcW w:w="992"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7.11</w:t>
            </w:r>
          </w:p>
        </w:tc>
        <w:tc>
          <w:tcPr>
            <w:tcW w:w="925"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4.95</w:t>
            </w:r>
          </w:p>
        </w:tc>
        <w:tc>
          <w:tcPr>
            <w:tcW w:w="1203"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3.31</w:t>
            </w:r>
          </w:p>
        </w:tc>
        <w:tc>
          <w:tcPr>
            <w:tcW w:w="992"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1.28</w:t>
            </w:r>
          </w:p>
        </w:tc>
        <w:tc>
          <w:tcPr>
            <w:tcW w:w="992"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0.37</w:t>
            </w:r>
          </w:p>
        </w:tc>
        <w:tc>
          <w:tcPr>
            <w:tcW w:w="1275"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1.45</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3120" w:type="dxa"/>
            <w:shd w:val="clear" w:color="auto" w:fill="FBE4D5" w:themeFill="accent2" w:themeFillTint="33"/>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科学研究和技术服务业</w:t>
            </w:r>
          </w:p>
        </w:tc>
        <w:tc>
          <w:tcPr>
            <w:tcW w:w="992"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4.03</w:t>
            </w:r>
          </w:p>
        </w:tc>
        <w:tc>
          <w:tcPr>
            <w:tcW w:w="925"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3.96</w:t>
            </w:r>
          </w:p>
        </w:tc>
        <w:tc>
          <w:tcPr>
            <w:tcW w:w="1203"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2.49</w:t>
            </w:r>
          </w:p>
        </w:tc>
        <w:tc>
          <w:tcPr>
            <w:tcW w:w="992"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1.28</w:t>
            </w:r>
          </w:p>
        </w:tc>
        <w:tc>
          <w:tcPr>
            <w:tcW w:w="992"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1.83</w:t>
            </w:r>
          </w:p>
        </w:tc>
        <w:tc>
          <w:tcPr>
            <w:tcW w:w="1275"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0.96</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3120" w:type="dxa"/>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农、林、牧、渔业</w:t>
            </w:r>
          </w:p>
        </w:tc>
        <w:tc>
          <w:tcPr>
            <w:tcW w:w="992"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5.92</w:t>
            </w:r>
          </w:p>
        </w:tc>
        <w:tc>
          <w:tcPr>
            <w:tcW w:w="925"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5.94</w:t>
            </w:r>
          </w:p>
        </w:tc>
        <w:tc>
          <w:tcPr>
            <w:tcW w:w="1203"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3.31</w:t>
            </w:r>
          </w:p>
        </w:tc>
        <w:tc>
          <w:tcPr>
            <w:tcW w:w="992"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2.05</w:t>
            </w:r>
          </w:p>
        </w:tc>
        <w:tc>
          <w:tcPr>
            <w:tcW w:w="992"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0.73</w:t>
            </w:r>
          </w:p>
        </w:tc>
        <w:tc>
          <w:tcPr>
            <w:tcW w:w="1275"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0.72</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3120" w:type="dxa"/>
            <w:shd w:val="clear" w:color="auto" w:fill="FBE4D5" w:themeFill="accent2" w:themeFillTint="33"/>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租赁和商务服务业</w:t>
            </w:r>
          </w:p>
        </w:tc>
        <w:tc>
          <w:tcPr>
            <w:tcW w:w="992"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1.66</w:t>
            </w:r>
          </w:p>
        </w:tc>
        <w:tc>
          <w:tcPr>
            <w:tcW w:w="925"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1.73</w:t>
            </w:r>
          </w:p>
        </w:tc>
        <w:tc>
          <w:tcPr>
            <w:tcW w:w="1203"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3.59</w:t>
            </w:r>
          </w:p>
        </w:tc>
        <w:tc>
          <w:tcPr>
            <w:tcW w:w="992"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2.05</w:t>
            </w:r>
          </w:p>
        </w:tc>
        <w:tc>
          <w:tcPr>
            <w:tcW w:w="992"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1.10</w:t>
            </w:r>
          </w:p>
        </w:tc>
        <w:tc>
          <w:tcPr>
            <w:tcW w:w="1275"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0.48</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3120" w:type="dxa"/>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军队</w:t>
            </w:r>
          </w:p>
        </w:tc>
        <w:tc>
          <w:tcPr>
            <w:tcW w:w="992"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w:t>
            </w:r>
          </w:p>
        </w:tc>
        <w:tc>
          <w:tcPr>
            <w:tcW w:w="925"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0.25</w:t>
            </w:r>
          </w:p>
        </w:tc>
        <w:tc>
          <w:tcPr>
            <w:tcW w:w="1203"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0.83</w:t>
            </w:r>
          </w:p>
        </w:tc>
        <w:tc>
          <w:tcPr>
            <w:tcW w:w="992"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0.26</w:t>
            </w:r>
          </w:p>
        </w:tc>
        <w:tc>
          <w:tcPr>
            <w:tcW w:w="992"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0.37</w:t>
            </w:r>
          </w:p>
        </w:tc>
        <w:tc>
          <w:tcPr>
            <w:tcW w:w="1275"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0.48</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3120" w:type="dxa"/>
            <w:shd w:val="clear" w:color="auto" w:fill="FBE4D5" w:themeFill="accent2" w:themeFillTint="33"/>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公共管理、社会保障和社会组织</w:t>
            </w:r>
          </w:p>
        </w:tc>
        <w:tc>
          <w:tcPr>
            <w:tcW w:w="992"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9.48</w:t>
            </w:r>
          </w:p>
        </w:tc>
        <w:tc>
          <w:tcPr>
            <w:tcW w:w="925"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2.97</w:t>
            </w:r>
          </w:p>
        </w:tc>
        <w:tc>
          <w:tcPr>
            <w:tcW w:w="1203"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2.76</w:t>
            </w:r>
          </w:p>
        </w:tc>
        <w:tc>
          <w:tcPr>
            <w:tcW w:w="992"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2.05</w:t>
            </w:r>
          </w:p>
        </w:tc>
        <w:tc>
          <w:tcPr>
            <w:tcW w:w="992"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0.73</w:t>
            </w:r>
          </w:p>
        </w:tc>
        <w:tc>
          <w:tcPr>
            <w:tcW w:w="1275"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0.24</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3120" w:type="dxa"/>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采矿业</w:t>
            </w:r>
          </w:p>
        </w:tc>
        <w:tc>
          <w:tcPr>
            <w:tcW w:w="992"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0.71</w:t>
            </w:r>
          </w:p>
        </w:tc>
        <w:tc>
          <w:tcPr>
            <w:tcW w:w="925"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w:t>
            </w:r>
          </w:p>
        </w:tc>
        <w:tc>
          <w:tcPr>
            <w:tcW w:w="1203"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1.10</w:t>
            </w:r>
          </w:p>
        </w:tc>
        <w:tc>
          <w:tcPr>
            <w:tcW w:w="992"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0.77</w:t>
            </w:r>
          </w:p>
        </w:tc>
        <w:tc>
          <w:tcPr>
            <w:tcW w:w="992"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1.10</w:t>
            </w:r>
          </w:p>
        </w:tc>
        <w:tc>
          <w:tcPr>
            <w:tcW w:w="1275" w:type="dxa"/>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w:t>
            </w:r>
          </w:p>
        </w:tc>
      </w:tr>
      <w:tr>
        <w:tblPrEx>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Ex>
        <w:trPr>
          <w:trHeight w:val="270" w:hRule="atLeast"/>
          <w:jc w:val="center"/>
        </w:trPr>
        <w:tc>
          <w:tcPr>
            <w:tcW w:w="3120" w:type="dxa"/>
            <w:shd w:val="clear" w:color="auto" w:fill="FBE4D5" w:themeFill="accent2" w:themeFillTint="33"/>
          </w:tcPr>
          <w:p>
            <w:pPr>
              <w:widowControl/>
              <w:jc w:val="center"/>
              <w:rPr>
                <w:rFonts w:ascii="宋体" w:hAnsi="宋体" w:eastAsia="宋体" w:cs="宋体"/>
                <w:b w:val="0"/>
                <w:bCs/>
                <w:color w:val="000000"/>
                <w:kern w:val="0"/>
                <w:sz w:val="18"/>
                <w:szCs w:val="18"/>
              </w:rPr>
            </w:pPr>
            <w:r>
              <w:rPr>
                <w:rFonts w:hint="eastAsia" w:ascii="宋体" w:hAnsi="宋体" w:eastAsia="宋体" w:cs="宋体"/>
                <w:b w:val="0"/>
                <w:bCs/>
                <w:color w:val="000000"/>
                <w:kern w:val="0"/>
                <w:sz w:val="18"/>
                <w:szCs w:val="18"/>
              </w:rPr>
              <w:t>国际组织</w:t>
            </w:r>
          </w:p>
        </w:tc>
        <w:tc>
          <w:tcPr>
            <w:tcW w:w="992"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925"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0.25</w:t>
            </w:r>
          </w:p>
        </w:tc>
        <w:tc>
          <w:tcPr>
            <w:tcW w:w="1203"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992"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0.26</w:t>
            </w:r>
          </w:p>
        </w:tc>
        <w:tc>
          <w:tcPr>
            <w:tcW w:w="992"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w:t>
            </w:r>
          </w:p>
        </w:tc>
        <w:tc>
          <w:tcPr>
            <w:tcW w:w="1275" w:type="dxa"/>
            <w:shd w:val="clear" w:color="auto" w:fill="FBE4D5" w:themeFill="accent2" w:themeFillTint="33"/>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w:t>
            </w:r>
          </w:p>
        </w:tc>
      </w:tr>
    </w:tbl>
    <w:p>
      <w:pPr>
        <w:pStyle w:val="40"/>
      </w:pPr>
      <w:r>
        <w:rPr>
          <w:rFonts w:hint="eastAsia"/>
        </w:rPr>
        <w:t>未来</w:t>
      </w:r>
      <w:r>
        <w:t>工作中，学校可根据</w:t>
      </w:r>
      <w:r>
        <w:rPr>
          <w:rFonts w:hint="eastAsia"/>
        </w:rPr>
        <w:t>各行业</w:t>
      </w:r>
      <w:r>
        <w:t>的需求对本校专业</w:t>
      </w:r>
      <w:r>
        <w:rPr>
          <w:rFonts w:hint="eastAsia"/>
        </w:rPr>
        <w:t>设置</w:t>
      </w:r>
      <w:r>
        <w:t>及招生计划进行详细规划，进一步</w:t>
      </w:r>
      <w:r>
        <w:rPr>
          <w:rFonts w:hint="eastAsia"/>
        </w:rPr>
        <w:t>完善</w:t>
      </w:r>
      <w:r>
        <w:t>学校的</w:t>
      </w:r>
      <w:r>
        <w:rPr>
          <w:rFonts w:hint="eastAsia"/>
        </w:rPr>
        <w:t>人才</w:t>
      </w:r>
      <w:r>
        <w:t>培养体制，保证</w:t>
      </w:r>
      <w:r>
        <w:rPr>
          <w:rFonts w:hint="eastAsia"/>
        </w:rPr>
        <w:t>学校</w:t>
      </w:r>
      <w:r>
        <w:t>培养的人才能够为社会所用。</w:t>
      </w:r>
    </w:p>
    <w:sectPr>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Arial Narrow">
    <w:panose1 w:val="020B0606020202030204"/>
    <w:charset w:val="00"/>
    <w:family w:val="swiss"/>
    <w:pitch w:val="default"/>
    <w:sig w:usb0="00000287" w:usb1="00000800" w:usb2="00000000" w:usb3="00000000" w:csb0="2000009F" w:csb1="DFD70000"/>
  </w:font>
  <w:font w:name="MingLiU">
    <w:panose1 w:val="02020509000000000000"/>
    <w:charset w:val="88"/>
    <w:family w:val="modern"/>
    <w:pitch w:val="default"/>
    <w:sig w:usb0="A00002FF" w:usb1="28CFFCFA" w:usb2="00000016" w:usb3="00000000" w:csb0="00100001" w:csb1="00000000"/>
  </w:font>
  <w:font w:name="微软雅黑">
    <w:panose1 w:val="020B0503020204020204"/>
    <w:charset w:val="86"/>
    <w:family w:val="swiss"/>
    <w:pitch w:val="default"/>
    <w:sig w:usb0="80000287" w:usb1="280F3C52" w:usb2="00000016" w:usb3="00000000" w:csb0="0004001F" w:csb1="00000000"/>
  </w:font>
  <w:font w:name="MS Mincho">
    <w:panose1 w:val="02020609040205080304"/>
    <w:charset w:val="80"/>
    <w:family w:val="modern"/>
    <w:pitch w:val="default"/>
    <w:sig w:usb0="E00002FF" w:usb1="6AC7FDFB" w:usb2="00000012" w:usb3="00000000" w:csb0="4002009F" w:csb1="DFD70000"/>
  </w:font>
  <w:font w:name="Cambria Math">
    <w:panose1 w:val="02040503050406030204"/>
    <w:charset w:val="00"/>
    <w:family w:val="roman"/>
    <w:pitch w:val="default"/>
    <w:sig w:usb0="E00002FF" w:usb1="420024FF" w:usb2="00000000" w:usb3="00000000" w:csb0="2000019F"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14603234"/>
      <w:placeholder>
        <w:docPart w:val="A8F1A167AFC84FC99FB97F9BCD262250"/>
      </w:placeholder>
      <w:temporary/>
      <w:showingPlcHdr/>
      <w15:appearance w15:val="hidden"/>
    </w:sdtPr>
    <w:sdtContent>
      <w:p>
        <w:pPr>
          <w:pStyle w:val="12"/>
        </w:pPr>
        <w:r>
          <w:rPr>
            <w:lang w:val="zh-CN"/>
          </w:rPr>
          <w:t>[在此处键入]</w:t>
        </w:r>
      </w:p>
    </w:sdtContent>
  </w:sdt>
  <w:p>
    <w:pPr>
      <w:pStyle w:val="12"/>
      <w:spacing w:before="120" w:after="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before="120"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before="120" w:after="1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74079451"/>
    </w:sdtPr>
    <w:sdtContent>
      <w:p>
        <w:pPr>
          <w:pStyle w:val="12"/>
          <w:jc w:val="center"/>
        </w:pPr>
        <w:r>
          <w:fldChar w:fldCharType="begin"/>
        </w:r>
        <w:r>
          <w:instrText xml:space="preserve">PAGE   \* MERGEFORMAT</w:instrText>
        </w:r>
        <w:r>
          <w:fldChar w:fldCharType="separate"/>
        </w:r>
        <w:r>
          <w:rPr>
            <w:lang w:val="zh-CN"/>
          </w:rPr>
          <w:t>VII</w:t>
        </w:r>
        <w:r>
          <w:fldChar w:fldCharType="end"/>
        </w:r>
      </w:p>
    </w:sdtContent>
  </w:sdt>
  <w:p>
    <w:pPr>
      <w:pStyle w:val="12"/>
      <w:spacing w:before="120" w:after="120"/>
    </w:pPr>
    <w:r>
      <w:drawing>
        <wp:inline distT="0" distB="0" distL="0" distR="0">
          <wp:extent cx="5274310" cy="170180"/>
          <wp:effectExtent l="0" t="0" r="2540" b="127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274310" cy="170180"/>
                  </a:xfrm>
                  <a:prstGeom prst="rect">
                    <a:avLst/>
                  </a:prstGeom>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7849430"/>
    </w:sdtPr>
    <w:sdtContent>
      <w:p>
        <w:pPr>
          <w:pStyle w:val="12"/>
          <w:jc w:val="center"/>
        </w:pPr>
        <w:r>
          <w:fldChar w:fldCharType="begin"/>
        </w:r>
        <w:r>
          <w:instrText xml:space="preserve">PAGE   \* MERGEFORMAT</w:instrText>
        </w:r>
        <w:r>
          <w:fldChar w:fldCharType="separate"/>
        </w:r>
        <w:r>
          <w:rPr>
            <w:lang w:val="zh-CN"/>
          </w:rPr>
          <w:t>2</w:t>
        </w:r>
        <w:r>
          <w:fldChar w:fldCharType="end"/>
        </w:r>
      </w:p>
    </w:sdtContent>
  </w:sdt>
  <w:p>
    <w:pPr>
      <w:pStyle w:val="12"/>
      <w:spacing w:before="120" w:after="120"/>
    </w:pPr>
    <w:r>
      <w:drawing>
        <wp:inline distT="0" distB="0" distL="0" distR="0">
          <wp:extent cx="5274310" cy="170180"/>
          <wp:effectExtent l="0" t="0" r="2540" b="127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274310" cy="170180"/>
                  </a:xfrm>
                  <a:prstGeom prst="rect">
                    <a:avLst/>
                  </a:prstGeom>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after="120"/>
    </w:pPr>
    <w:r>
      <w:drawing>
        <wp:inline distT="0" distB="0" distL="0" distR="0">
          <wp:extent cx="5274310" cy="509905"/>
          <wp:effectExtent l="0" t="0" r="2540" b="444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274310" cy="50990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before="120"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before="120" w:after="1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509"/>
    <w:rsid w:val="00017BE1"/>
    <w:rsid w:val="00033509"/>
    <w:rsid w:val="000614FD"/>
    <w:rsid w:val="000767B4"/>
    <w:rsid w:val="00077A22"/>
    <w:rsid w:val="00082A07"/>
    <w:rsid w:val="000B6A4E"/>
    <w:rsid w:val="000C1379"/>
    <w:rsid w:val="000F3453"/>
    <w:rsid w:val="00104E19"/>
    <w:rsid w:val="001052D2"/>
    <w:rsid w:val="00105FAA"/>
    <w:rsid w:val="00176687"/>
    <w:rsid w:val="00186064"/>
    <w:rsid w:val="00190F14"/>
    <w:rsid w:val="001A0608"/>
    <w:rsid w:val="001A1884"/>
    <w:rsid w:val="001E6A4F"/>
    <w:rsid w:val="001F610D"/>
    <w:rsid w:val="002004F6"/>
    <w:rsid w:val="00213985"/>
    <w:rsid w:val="00225C7E"/>
    <w:rsid w:val="002679FC"/>
    <w:rsid w:val="00267AD5"/>
    <w:rsid w:val="00267D7C"/>
    <w:rsid w:val="00294DFA"/>
    <w:rsid w:val="002B0528"/>
    <w:rsid w:val="002B7890"/>
    <w:rsid w:val="002C549C"/>
    <w:rsid w:val="002C5F34"/>
    <w:rsid w:val="002E5E77"/>
    <w:rsid w:val="00306405"/>
    <w:rsid w:val="003119F5"/>
    <w:rsid w:val="00317C53"/>
    <w:rsid w:val="003359B4"/>
    <w:rsid w:val="003372E0"/>
    <w:rsid w:val="0038444F"/>
    <w:rsid w:val="003979BB"/>
    <w:rsid w:val="003F2377"/>
    <w:rsid w:val="00414EC2"/>
    <w:rsid w:val="00422D82"/>
    <w:rsid w:val="00440A7B"/>
    <w:rsid w:val="00443261"/>
    <w:rsid w:val="00447D7D"/>
    <w:rsid w:val="00452EF0"/>
    <w:rsid w:val="00455D23"/>
    <w:rsid w:val="00463139"/>
    <w:rsid w:val="004744BF"/>
    <w:rsid w:val="004778EE"/>
    <w:rsid w:val="004B6440"/>
    <w:rsid w:val="004B7BAA"/>
    <w:rsid w:val="004C0B86"/>
    <w:rsid w:val="004D545B"/>
    <w:rsid w:val="004D6693"/>
    <w:rsid w:val="004E047F"/>
    <w:rsid w:val="00501E12"/>
    <w:rsid w:val="00517685"/>
    <w:rsid w:val="00521166"/>
    <w:rsid w:val="005230F6"/>
    <w:rsid w:val="005654C9"/>
    <w:rsid w:val="005717AC"/>
    <w:rsid w:val="00575E26"/>
    <w:rsid w:val="00576043"/>
    <w:rsid w:val="005803F4"/>
    <w:rsid w:val="00586E6D"/>
    <w:rsid w:val="00596800"/>
    <w:rsid w:val="005B3BE4"/>
    <w:rsid w:val="0060573A"/>
    <w:rsid w:val="006103AA"/>
    <w:rsid w:val="0061234E"/>
    <w:rsid w:val="00625303"/>
    <w:rsid w:val="006338BB"/>
    <w:rsid w:val="006366F0"/>
    <w:rsid w:val="00664D28"/>
    <w:rsid w:val="00680005"/>
    <w:rsid w:val="00680778"/>
    <w:rsid w:val="006B55FF"/>
    <w:rsid w:val="006D26C0"/>
    <w:rsid w:val="006F2438"/>
    <w:rsid w:val="00712E68"/>
    <w:rsid w:val="0072234F"/>
    <w:rsid w:val="007406B4"/>
    <w:rsid w:val="00767CBC"/>
    <w:rsid w:val="00775E39"/>
    <w:rsid w:val="00790707"/>
    <w:rsid w:val="00796BA4"/>
    <w:rsid w:val="007D392F"/>
    <w:rsid w:val="007E090C"/>
    <w:rsid w:val="008002AD"/>
    <w:rsid w:val="0080537A"/>
    <w:rsid w:val="0081154C"/>
    <w:rsid w:val="00815770"/>
    <w:rsid w:val="00821F05"/>
    <w:rsid w:val="00824C1C"/>
    <w:rsid w:val="008314C4"/>
    <w:rsid w:val="0083190E"/>
    <w:rsid w:val="00856591"/>
    <w:rsid w:val="00857B27"/>
    <w:rsid w:val="00871CA1"/>
    <w:rsid w:val="008A11A1"/>
    <w:rsid w:val="008A2052"/>
    <w:rsid w:val="008A2E6C"/>
    <w:rsid w:val="008B0E9F"/>
    <w:rsid w:val="008B60D3"/>
    <w:rsid w:val="008C0EA1"/>
    <w:rsid w:val="008D421C"/>
    <w:rsid w:val="009010CE"/>
    <w:rsid w:val="009064EE"/>
    <w:rsid w:val="00913957"/>
    <w:rsid w:val="00926010"/>
    <w:rsid w:val="00947F25"/>
    <w:rsid w:val="009528CA"/>
    <w:rsid w:val="00954C29"/>
    <w:rsid w:val="00956C0F"/>
    <w:rsid w:val="00964D29"/>
    <w:rsid w:val="00966D60"/>
    <w:rsid w:val="00974282"/>
    <w:rsid w:val="0099334F"/>
    <w:rsid w:val="009978B6"/>
    <w:rsid w:val="009B3043"/>
    <w:rsid w:val="009E1309"/>
    <w:rsid w:val="009E7C30"/>
    <w:rsid w:val="009F25ED"/>
    <w:rsid w:val="009F4695"/>
    <w:rsid w:val="00A01D0C"/>
    <w:rsid w:val="00A02F23"/>
    <w:rsid w:val="00A40EDA"/>
    <w:rsid w:val="00A45915"/>
    <w:rsid w:val="00A83EA2"/>
    <w:rsid w:val="00AA481E"/>
    <w:rsid w:val="00AA7349"/>
    <w:rsid w:val="00AD1D36"/>
    <w:rsid w:val="00AD4613"/>
    <w:rsid w:val="00AD78DE"/>
    <w:rsid w:val="00AE1A6A"/>
    <w:rsid w:val="00AE7965"/>
    <w:rsid w:val="00AF2D8D"/>
    <w:rsid w:val="00AF4274"/>
    <w:rsid w:val="00B06086"/>
    <w:rsid w:val="00B07BCF"/>
    <w:rsid w:val="00B103A3"/>
    <w:rsid w:val="00B2459C"/>
    <w:rsid w:val="00B40225"/>
    <w:rsid w:val="00B47178"/>
    <w:rsid w:val="00B57344"/>
    <w:rsid w:val="00B62F5D"/>
    <w:rsid w:val="00B70FAE"/>
    <w:rsid w:val="00B96827"/>
    <w:rsid w:val="00BA5FFB"/>
    <w:rsid w:val="00BA6F84"/>
    <w:rsid w:val="00BB674E"/>
    <w:rsid w:val="00C106FB"/>
    <w:rsid w:val="00C44CE3"/>
    <w:rsid w:val="00C52223"/>
    <w:rsid w:val="00C5414F"/>
    <w:rsid w:val="00C6322C"/>
    <w:rsid w:val="00C76C4B"/>
    <w:rsid w:val="00C8508D"/>
    <w:rsid w:val="00CB513D"/>
    <w:rsid w:val="00CB69AB"/>
    <w:rsid w:val="00CE199A"/>
    <w:rsid w:val="00D07084"/>
    <w:rsid w:val="00D305D7"/>
    <w:rsid w:val="00D518FB"/>
    <w:rsid w:val="00D60BFA"/>
    <w:rsid w:val="00D61F66"/>
    <w:rsid w:val="00D72BBC"/>
    <w:rsid w:val="00D80662"/>
    <w:rsid w:val="00DB4465"/>
    <w:rsid w:val="00DD3281"/>
    <w:rsid w:val="00DE1DC0"/>
    <w:rsid w:val="00DF3819"/>
    <w:rsid w:val="00E11214"/>
    <w:rsid w:val="00E138EA"/>
    <w:rsid w:val="00E14272"/>
    <w:rsid w:val="00E40218"/>
    <w:rsid w:val="00E4575D"/>
    <w:rsid w:val="00E72230"/>
    <w:rsid w:val="00E81D32"/>
    <w:rsid w:val="00E83AE0"/>
    <w:rsid w:val="00E84776"/>
    <w:rsid w:val="00E86A3C"/>
    <w:rsid w:val="00E87EFD"/>
    <w:rsid w:val="00EB24D6"/>
    <w:rsid w:val="00ED2B0B"/>
    <w:rsid w:val="00F01F7B"/>
    <w:rsid w:val="00F04DBF"/>
    <w:rsid w:val="00F50396"/>
    <w:rsid w:val="00F83BF0"/>
    <w:rsid w:val="00F8451D"/>
    <w:rsid w:val="00F91698"/>
    <w:rsid w:val="00F9588F"/>
    <w:rsid w:val="00FA11A4"/>
    <w:rsid w:val="00FB65B2"/>
    <w:rsid w:val="00FC3A01"/>
    <w:rsid w:val="00FD3416"/>
    <w:rsid w:val="00FD49F1"/>
    <w:rsid w:val="122F0441"/>
    <w:rsid w:val="7DB76915"/>
    <w:rsid w:val="7E127028"/>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semiHidden="0" w:name="caption"/>
    <w:lsdException w:qFormat="1"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2"/>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6"/>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9"/>
    <w:unhideWhenUsed/>
    <w:qFormat/>
    <w:uiPriority w:val="9"/>
    <w:pPr>
      <w:keepNext/>
      <w:keepLines/>
      <w:spacing w:before="280" w:after="290" w:line="376" w:lineRule="auto"/>
      <w:outlineLvl w:val="4"/>
    </w:pPr>
    <w:rPr>
      <w:b/>
      <w:bCs/>
      <w:sz w:val="28"/>
      <w:szCs w:val="28"/>
    </w:rPr>
  </w:style>
  <w:style w:type="character" w:default="1" w:styleId="20">
    <w:name w:val="Default Paragraph Font"/>
    <w:unhideWhenUsed/>
    <w:uiPriority w:val="1"/>
  </w:style>
  <w:style w:type="table" w:default="1" w:styleId="22">
    <w:name w:val="Normal Table"/>
    <w:unhideWhenUsed/>
    <w:qFormat/>
    <w:uiPriority w:val="99"/>
    <w:tblPr>
      <w:tblLayout w:type="fixed"/>
      <w:tblCellMar>
        <w:top w:w="0" w:type="dxa"/>
        <w:left w:w="108" w:type="dxa"/>
        <w:bottom w:w="0" w:type="dxa"/>
        <w:right w:w="108" w:type="dxa"/>
      </w:tblCellMar>
    </w:tblPr>
  </w:style>
  <w:style w:type="paragraph" w:styleId="7">
    <w:name w:val="toc 7"/>
    <w:basedOn w:val="1"/>
    <w:next w:val="1"/>
    <w:unhideWhenUsed/>
    <w:qFormat/>
    <w:uiPriority w:val="39"/>
    <w:pPr>
      <w:ind w:left="1050"/>
      <w:jc w:val="left"/>
    </w:pPr>
    <w:rPr>
      <w:sz w:val="20"/>
      <w:szCs w:val="20"/>
    </w:rPr>
  </w:style>
  <w:style w:type="paragraph" w:styleId="8">
    <w:name w:val="caption"/>
    <w:basedOn w:val="1"/>
    <w:next w:val="1"/>
    <w:link w:val="52"/>
    <w:unhideWhenUsed/>
    <w:qFormat/>
    <w:uiPriority w:val="0"/>
    <w:rPr>
      <w:rFonts w:eastAsia="黑体" w:asciiTheme="majorHAnsi" w:hAnsiTheme="majorHAnsi" w:cstheme="majorBidi"/>
      <w:sz w:val="20"/>
      <w:szCs w:val="20"/>
    </w:rPr>
  </w:style>
  <w:style w:type="paragraph" w:styleId="9">
    <w:name w:val="toc 5"/>
    <w:basedOn w:val="1"/>
    <w:next w:val="1"/>
    <w:unhideWhenUsed/>
    <w:qFormat/>
    <w:uiPriority w:val="39"/>
    <w:pPr>
      <w:ind w:left="630"/>
      <w:jc w:val="left"/>
    </w:pPr>
    <w:rPr>
      <w:sz w:val="20"/>
      <w:szCs w:val="20"/>
    </w:rPr>
  </w:style>
  <w:style w:type="paragraph" w:styleId="10">
    <w:name w:val="toc 3"/>
    <w:basedOn w:val="1"/>
    <w:next w:val="1"/>
    <w:unhideWhenUsed/>
    <w:qFormat/>
    <w:uiPriority w:val="39"/>
    <w:pPr>
      <w:ind w:left="210"/>
      <w:jc w:val="left"/>
    </w:pPr>
    <w:rPr>
      <w:sz w:val="20"/>
      <w:szCs w:val="20"/>
    </w:rPr>
  </w:style>
  <w:style w:type="paragraph" w:styleId="11">
    <w:name w:val="toc 8"/>
    <w:basedOn w:val="1"/>
    <w:next w:val="1"/>
    <w:unhideWhenUsed/>
    <w:qFormat/>
    <w:uiPriority w:val="39"/>
    <w:pPr>
      <w:ind w:left="1260"/>
      <w:jc w:val="left"/>
    </w:pPr>
    <w:rPr>
      <w:sz w:val="20"/>
      <w:szCs w:val="20"/>
    </w:rPr>
  </w:style>
  <w:style w:type="paragraph" w:styleId="12">
    <w:name w:val="footer"/>
    <w:basedOn w:val="1"/>
    <w:link w:val="46"/>
    <w:unhideWhenUsed/>
    <w:qFormat/>
    <w:uiPriority w:val="99"/>
    <w:pPr>
      <w:tabs>
        <w:tab w:val="center" w:pos="4153"/>
        <w:tab w:val="right" w:pos="8306"/>
      </w:tabs>
      <w:snapToGrid w:val="0"/>
    </w:pPr>
    <w:rPr>
      <w:sz w:val="18"/>
      <w:szCs w:val="18"/>
    </w:rPr>
  </w:style>
  <w:style w:type="paragraph" w:styleId="13">
    <w:name w:val="header"/>
    <w:basedOn w:val="1"/>
    <w:link w:val="45"/>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360"/>
      <w:jc w:val="left"/>
    </w:pPr>
    <w:rPr>
      <w:rFonts w:asciiTheme="majorHAnsi" w:hAnsiTheme="majorHAnsi"/>
      <w:b/>
      <w:bCs/>
      <w:caps/>
      <w:sz w:val="24"/>
      <w:szCs w:val="24"/>
    </w:rPr>
  </w:style>
  <w:style w:type="paragraph" w:styleId="15">
    <w:name w:val="toc 4"/>
    <w:basedOn w:val="1"/>
    <w:next w:val="1"/>
    <w:unhideWhenUsed/>
    <w:qFormat/>
    <w:uiPriority w:val="39"/>
    <w:pPr>
      <w:ind w:left="420"/>
      <w:jc w:val="left"/>
    </w:pPr>
    <w:rPr>
      <w:sz w:val="20"/>
      <w:szCs w:val="20"/>
    </w:rPr>
  </w:style>
  <w:style w:type="paragraph" w:styleId="16">
    <w:name w:val="toc 6"/>
    <w:basedOn w:val="1"/>
    <w:next w:val="1"/>
    <w:unhideWhenUsed/>
    <w:qFormat/>
    <w:uiPriority w:val="39"/>
    <w:pPr>
      <w:ind w:left="840"/>
      <w:jc w:val="left"/>
    </w:pPr>
    <w:rPr>
      <w:sz w:val="20"/>
      <w:szCs w:val="20"/>
    </w:rPr>
  </w:style>
  <w:style w:type="paragraph" w:styleId="17">
    <w:name w:val="table of figures"/>
    <w:basedOn w:val="1"/>
    <w:next w:val="1"/>
    <w:unhideWhenUsed/>
    <w:qFormat/>
    <w:uiPriority w:val="99"/>
    <w:pPr>
      <w:ind w:left="420" w:hanging="420"/>
      <w:jc w:val="left"/>
    </w:pPr>
    <w:rPr>
      <w:caps/>
      <w:sz w:val="20"/>
      <w:szCs w:val="20"/>
    </w:rPr>
  </w:style>
  <w:style w:type="paragraph" w:styleId="18">
    <w:name w:val="toc 2"/>
    <w:basedOn w:val="1"/>
    <w:next w:val="1"/>
    <w:qFormat/>
    <w:uiPriority w:val="39"/>
    <w:pPr>
      <w:spacing w:before="240"/>
      <w:jc w:val="left"/>
    </w:pPr>
    <w:rPr>
      <w:b/>
      <w:bCs/>
      <w:sz w:val="20"/>
      <w:szCs w:val="20"/>
    </w:rPr>
  </w:style>
  <w:style w:type="paragraph" w:styleId="19">
    <w:name w:val="toc 9"/>
    <w:basedOn w:val="1"/>
    <w:next w:val="1"/>
    <w:unhideWhenUsed/>
    <w:qFormat/>
    <w:uiPriority w:val="39"/>
    <w:pPr>
      <w:ind w:left="1470"/>
      <w:jc w:val="left"/>
    </w:pPr>
    <w:rPr>
      <w:sz w:val="20"/>
      <w:szCs w:val="20"/>
    </w:rPr>
  </w:style>
  <w:style w:type="character" w:styleId="21">
    <w:name w:val="Hyperlink"/>
    <w:basedOn w:val="20"/>
    <w:qFormat/>
    <w:uiPriority w:val="99"/>
    <w:rPr>
      <w:color w:val="0563C1"/>
      <w:u w:val="single"/>
    </w:rPr>
  </w:style>
  <w:style w:type="table" w:styleId="23">
    <w:name w:val="Table Grid"/>
    <w:basedOn w:val="2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4">
    <w:name w:val="第一级标题"/>
    <w:basedOn w:val="25"/>
    <w:link w:val="26"/>
    <w:qFormat/>
    <w:uiPriority w:val="0"/>
    <w:pPr>
      <w:jc w:val="center"/>
      <w:outlineLvl w:val="0"/>
    </w:pPr>
    <w:rPr>
      <w:sz w:val="30"/>
      <w:szCs w:val="30"/>
    </w:rPr>
  </w:style>
  <w:style w:type="paragraph" w:customStyle="1" w:styleId="25">
    <w:name w:val="第二级标题"/>
    <w:basedOn w:val="3"/>
    <w:next w:val="1"/>
    <w:link w:val="27"/>
    <w:qFormat/>
    <w:uiPriority w:val="0"/>
    <w:pPr>
      <w:spacing w:before="120" w:after="120" w:line="360" w:lineRule="auto"/>
    </w:pPr>
    <w:rPr>
      <w:rFonts w:hAnsi="Arial Narrow" w:cs="Times New Roman" w:asciiTheme="majorEastAsia"/>
      <w:sz w:val="28"/>
    </w:rPr>
  </w:style>
  <w:style w:type="character" w:customStyle="1" w:styleId="26">
    <w:name w:val="第一级标题 Char"/>
    <w:basedOn w:val="27"/>
    <w:link w:val="24"/>
    <w:uiPriority w:val="0"/>
    <w:rPr>
      <w:rFonts w:hAnsi="Arial Narrow" w:cs="Times New Roman" w:asciiTheme="majorEastAsia" w:eastAsiaTheme="majorEastAsia"/>
      <w:sz w:val="30"/>
      <w:szCs w:val="30"/>
    </w:rPr>
  </w:style>
  <w:style w:type="character" w:customStyle="1" w:styleId="27">
    <w:name w:val="第二级标题 Char"/>
    <w:basedOn w:val="28"/>
    <w:link w:val="25"/>
    <w:qFormat/>
    <w:uiPriority w:val="0"/>
    <w:rPr>
      <w:rFonts w:hAnsi="Arial Narrow" w:cs="Times New Roman" w:asciiTheme="majorEastAsia" w:eastAsiaTheme="majorEastAsia"/>
      <w:sz w:val="28"/>
      <w:szCs w:val="32"/>
    </w:rPr>
  </w:style>
  <w:style w:type="character" w:customStyle="1" w:styleId="28">
    <w:name w:val="标题 2 Char"/>
    <w:basedOn w:val="20"/>
    <w:link w:val="3"/>
    <w:qFormat/>
    <w:uiPriority w:val="9"/>
    <w:rPr>
      <w:rFonts w:asciiTheme="majorHAnsi" w:hAnsiTheme="majorHAnsi" w:eastAsiaTheme="majorEastAsia" w:cstheme="majorBidi"/>
      <w:b/>
      <w:bCs/>
      <w:sz w:val="32"/>
      <w:szCs w:val="32"/>
    </w:rPr>
  </w:style>
  <w:style w:type="character" w:customStyle="1" w:styleId="29">
    <w:name w:val="标题 1 Char"/>
    <w:basedOn w:val="20"/>
    <w:link w:val="2"/>
    <w:qFormat/>
    <w:uiPriority w:val="9"/>
    <w:rPr>
      <w:b/>
      <w:bCs/>
      <w:kern w:val="44"/>
      <w:sz w:val="44"/>
      <w:szCs w:val="44"/>
    </w:rPr>
  </w:style>
  <w:style w:type="paragraph" w:customStyle="1" w:styleId="30">
    <w:name w:val="第三级标题"/>
    <w:basedOn w:val="4"/>
    <w:next w:val="1"/>
    <w:link w:val="31"/>
    <w:qFormat/>
    <w:uiPriority w:val="0"/>
    <w:pPr>
      <w:spacing w:before="120" w:after="120" w:line="360" w:lineRule="auto"/>
    </w:pPr>
    <w:rPr>
      <w:rFonts w:ascii="Times New Roman" w:hAnsi="Times New Roman" w:eastAsia="宋体" w:cs="Times New Roman"/>
      <w:sz w:val="24"/>
    </w:rPr>
  </w:style>
  <w:style w:type="character" w:customStyle="1" w:styleId="31">
    <w:name w:val="第三级标题 Char"/>
    <w:basedOn w:val="32"/>
    <w:link w:val="30"/>
    <w:qFormat/>
    <w:uiPriority w:val="0"/>
    <w:rPr>
      <w:rFonts w:ascii="Times New Roman" w:hAnsi="Times New Roman" w:eastAsia="宋体" w:cs="Times New Roman"/>
      <w:sz w:val="24"/>
      <w:szCs w:val="32"/>
    </w:rPr>
  </w:style>
  <w:style w:type="character" w:customStyle="1" w:styleId="32">
    <w:name w:val="标题 3 Char"/>
    <w:basedOn w:val="20"/>
    <w:link w:val="4"/>
    <w:qFormat/>
    <w:uiPriority w:val="9"/>
    <w:rPr>
      <w:b/>
      <w:bCs/>
      <w:sz w:val="32"/>
      <w:szCs w:val="32"/>
    </w:rPr>
  </w:style>
  <w:style w:type="paragraph" w:customStyle="1" w:styleId="33">
    <w:name w:val="第四级标题"/>
    <w:basedOn w:val="34"/>
    <w:next w:val="1"/>
    <w:link w:val="35"/>
    <w:qFormat/>
    <w:uiPriority w:val="0"/>
    <w:pPr>
      <w:spacing w:before="120" w:after="120"/>
      <w:outlineLvl w:val="3"/>
    </w:pPr>
    <w:rPr>
      <w:rFonts w:eastAsia="宋体" w:cs="Times New Roman"/>
      <w:sz w:val="24"/>
      <w:szCs w:val="24"/>
    </w:rPr>
  </w:style>
  <w:style w:type="paragraph" w:customStyle="1" w:styleId="34">
    <w:name w:val="第三级标题新"/>
    <w:basedOn w:val="1"/>
    <w:next w:val="1"/>
    <w:link w:val="42"/>
    <w:qFormat/>
    <w:uiPriority w:val="0"/>
    <w:pPr>
      <w:keepNext/>
      <w:keepLines/>
      <w:spacing w:before="156" w:after="156"/>
      <w:outlineLvl w:val="2"/>
    </w:pPr>
    <w:rPr>
      <w:rFonts w:asciiTheme="minorEastAsia" w:hAnsiTheme="minorEastAsia"/>
      <w:b/>
      <w:kern w:val="44"/>
      <w:szCs w:val="44"/>
    </w:rPr>
  </w:style>
  <w:style w:type="character" w:customStyle="1" w:styleId="35">
    <w:name w:val="第四级标题 Char"/>
    <w:basedOn w:val="20"/>
    <w:link w:val="33"/>
    <w:qFormat/>
    <w:uiPriority w:val="0"/>
    <w:rPr>
      <w:rFonts w:eastAsia="宋体" w:cs="Times New Roman" w:asciiTheme="minorEastAsia" w:hAnsiTheme="minorEastAsia"/>
      <w:b/>
      <w:kern w:val="44"/>
      <w:sz w:val="24"/>
      <w:szCs w:val="24"/>
    </w:rPr>
  </w:style>
  <w:style w:type="character" w:customStyle="1" w:styleId="36">
    <w:name w:val="标题 4 Char"/>
    <w:basedOn w:val="20"/>
    <w:link w:val="5"/>
    <w:qFormat/>
    <w:uiPriority w:val="9"/>
    <w:rPr>
      <w:rFonts w:asciiTheme="majorHAnsi" w:hAnsiTheme="majorHAnsi" w:eastAsiaTheme="majorEastAsia" w:cstheme="majorBidi"/>
      <w:b/>
      <w:bCs/>
      <w:sz w:val="28"/>
      <w:szCs w:val="28"/>
    </w:rPr>
  </w:style>
  <w:style w:type="paragraph" w:customStyle="1" w:styleId="37">
    <w:name w:val="第五级标题"/>
    <w:basedOn w:val="1"/>
    <w:link w:val="38"/>
    <w:qFormat/>
    <w:uiPriority w:val="0"/>
    <w:pPr>
      <w:outlineLvl w:val="4"/>
    </w:pPr>
    <w:rPr>
      <w:rFonts w:ascii="Times New Roman" w:hAnsi="Times New Roman" w:eastAsia="宋体" w:cs="Times New Roman"/>
      <w:b/>
      <w:sz w:val="24"/>
      <w:szCs w:val="24"/>
    </w:rPr>
  </w:style>
  <w:style w:type="character" w:customStyle="1" w:styleId="38">
    <w:name w:val="第五级标题 Char"/>
    <w:basedOn w:val="20"/>
    <w:link w:val="37"/>
    <w:qFormat/>
    <w:uiPriority w:val="0"/>
    <w:rPr>
      <w:rFonts w:ascii="Times New Roman" w:hAnsi="Times New Roman" w:eastAsia="宋体" w:cs="Times New Roman"/>
      <w:b/>
      <w:sz w:val="24"/>
      <w:szCs w:val="24"/>
    </w:rPr>
  </w:style>
  <w:style w:type="character" w:customStyle="1" w:styleId="39">
    <w:name w:val="标题 5 Char"/>
    <w:basedOn w:val="20"/>
    <w:link w:val="6"/>
    <w:semiHidden/>
    <w:qFormat/>
    <w:uiPriority w:val="9"/>
    <w:rPr>
      <w:b/>
      <w:bCs/>
      <w:sz w:val="28"/>
      <w:szCs w:val="28"/>
    </w:rPr>
  </w:style>
  <w:style w:type="paragraph" w:customStyle="1" w:styleId="40">
    <w:name w:val="报告正文样式"/>
    <w:basedOn w:val="1"/>
    <w:link w:val="41"/>
    <w:qFormat/>
    <w:uiPriority w:val="0"/>
    <w:pPr>
      <w:widowControl/>
      <w:autoSpaceDE w:val="0"/>
      <w:autoSpaceDN w:val="0"/>
      <w:adjustRightInd w:val="0"/>
      <w:spacing w:before="156" w:beforeLines="50" w:after="156" w:afterLines="50" w:line="360" w:lineRule="auto"/>
      <w:ind w:firstLine="480" w:firstLineChars="200"/>
    </w:pPr>
    <w:rPr>
      <w:rFonts w:eastAsia="宋体" w:cs="宋体" w:asciiTheme="minorEastAsia" w:hAnsiTheme="minorEastAsia"/>
      <w:kern w:val="0"/>
      <w:sz w:val="24"/>
      <w:szCs w:val="28"/>
    </w:rPr>
  </w:style>
  <w:style w:type="character" w:customStyle="1" w:styleId="41">
    <w:name w:val="报告正文样式 Char"/>
    <w:basedOn w:val="20"/>
    <w:link w:val="40"/>
    <w:qFormat/>
    <w:uiPriority w:val="0"/>
    <w:rPr>
      <w:rFonts w:eastAsia="宋体" w:cs="宋体" w:asciiTheme="minorEastAsia" w:hAnsiTheme="minorEastAsia"/>
      <w:kern w:val="0"/>
      <w:sz w:val="24"/>
      <w:szCs w:val="28"/>
    </w:rPr>
  </w:style>
  <w:style w:type="character" w:customStyle="1" w:styleId="42">
    <w:name w:val="第三级标题新 Char"/>
    <w:basedOn w:val="20"/>
    <w:link w:val="34"/>
    <w:qFormat/>
    <w:uiPriority w:val="0"/>
    <w:rPr>
      <w:rFonts w:asciiTheme="minorEastAsia" w:hAnsiTheme="minorEastAsia"/>
      <w:b/>
      <w:kern w:val="44"/>
      <w:sz w:val="24"/>
      <w:szCs w:val="44"/>
    </w:rPr>
  </w:style>
  <w:style w:type="paragraph" w:customStyle="1" w:styleId="43">
    <w:name w:val="第二级标题改"/>
    <w:basedOn w:val="1"/>
    <w:next w:val="1"/>
    <w:link w:val="44"/>
    <w:qFormat/>
    <w:uiPriority w:val="0"/>
    <w:pPr>
      <w:keepNext/>
      <w:keepLines/>
      <w:outlineLvl w:val="1"/>
    </w:pPr>
    <w:rPr>
      <w:b/>
      <w:kern w:val="44"/>
      <w:sz w:val="28"/>
      <w:szCs w:val="44"/>
    </w:rPr>
  </w:style>
  <w:style w:type="character" w:customStyle="1" w:styleId="44">
    <w:name w:val="第二级标题改 Char"/>
    <w:basedOn w:val="20"/>
    <w:link w:val="43"/>
    <w:qFormat/>
    <w:uiPriority w:val="0"/>
    <w:rPr>
      <w:b/>
      <w:kern w:val="44"/>
      <w:sz w:val="28"/>
      <w:szCs w:val="44"/>
    </w:rPr>
  </w:style>
  <w:style w:type="character" w:customStyle="1" w:styleId="45">
    <w:name w:val="页眉 Char"/>
    <w:basedOn w:val="20"/>
    <w:link w:val="13"/>
    <w:qFormat/>
    <w:uiPriority w:val="99"/>
    <w:rPr>
      <w:b/>
      <w:sz w:val="18"/>
      <w:szCs w:val="18"/>
    </w:rPr>
  </w:style>
  <w:style w:type="character" w:customStyle="1" w:styleId="46">
    <w:name w:val="页脚 Char"/>
    <w:basedOn w:val="20"/>
    <w:link w:val="12"/>
    <w:qFormat/>
    <w:uiPriority w:val="99"/>
    <w:rPr>
      <w:b/>
      <w:sz w:val="18"/>
      <w:szCs w:val="18"/>
    </w:rPr>
  </w:style>
  <w:style w:type="table" w:customStyle="1" w:styleId="47">
    <w:name w:val="Grid Table 4 Accent 5"/>
    <w:basedOn w:val="22"/>
    <w:qFormat/>
    <w:uiPriority w:val="49"/>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Pr>
    <w:tblStylePr w:type="firstRow">
      <w:rPr>
        <w:b/>
        <w:bCs/>
        <w:color w:val="FFFFFF" w:themeColor="background1"/>
        <w14:textFill>
          <w14:solidFill>
            <w14:schemeClr w14:val="bg1"/>
          </w14:solidFill>
        </w14:textFill>
      </w:rPr>
      <w:tblPr>
        <w:tblLayout w:type="fixed"/>
      </w:tbl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blPr>
        <w:tblLayout w:type="fixed"/>
      </w:tblPr>
      <w:tcPr>
        <w:tcBorders>
          <w:top w:val="double" w:color="4472C4" w:themeColor="accent5" w:sz="4" w:space="0"/>
        </w:tcBorders>
      </w:tcPr>
    </w:tblStylePr>
    <w:tblStylePr w:type="firstCol">
      <w:rPr>
        <w:b/>
        <w:bCs/>
      </w:rPr>
    </w:tblStylePr>
    <w:tblStylePr w:type="lastCol">
      <w:rPr>
        <w:b/>
        <w:bCs/>
      </w:rPr>
    </w:tblStylePr>
    <w:tblStylePr w:type="band1Vert">
      <w:tblPr>
        <w:tblLayout w:type="fixed"/>
      </w:tblPr>
      <w:tcPr>
        <w:shd w:val="clear" w:color="auto" w:fill="D9E2F3" w:themeFill="accent5" w:themeFillTint="33"/>
      </w:tcPr>
    </w:tblStylePr>
    <w:tblStylePr w:type="band1Horz">
      <w:tblPr>
        <w:tblLayout w:type="fixed"/>
      </w:tblPr>
      <w:tcPr>
        <w:shd w:val="clear" w:color="auto" w:fill="D9E2F3" w:themeFill="accent5" w:themeFillTint="33"/>
      </w:tcPr>
    </w:tblStylePr>
  </w:style>
  <w:style w:type="table" w:customStyle="1" w:styleId="48">
    <w:name w:val="Grid Table 4 Accent 6"/>
    <w:basedOn w:val="22"/>
    <w:qFormat/>
    <w:uiPriority w:val="49"/>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Pr>
    <w:tblStylePr w:type="firstRow">
      <w:rPr>
        <w:b/>
        <w:bCs/>
        <w:color w:val="FFFFFF" w:themeColor="background1"/>
        <w14:textFill>
          <w14:solidFill>
            <w14:schemeClr w14:val="bg1"/>
          </w14:solidFill>
        </w14:textFill>
      </w:rPr>
      <w:tblPr>
        <w:tblLayout w:type="fixed"/>
      </w:tbl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blPr>
        <w:tblLayout w:type="fixed"/>
      </w:tblPr>
      <w:tcPr>
        <w:tcBorders>
          <w:top w:val="double" w:color="70AD47" w:themeColor="accent6" w:sz="4" w:space="0"/>
        </w:tcBorders>
      </w:tcPr>
    </w:tblStylePr>
    <w:tblStylePr w:type="firstCol">
      <w:rPr>
        <w:b/>
        <w:bCs/>
      </w:rPr>
    </w:tblStylePr>
    <w:tblStylePr w:type="lastCol">
      <w:rPr>
        <w:b/>
        <w:bCs/>
      </w:rPr>
    </w:tblStylePr>
    <w:tblStylePr w:type="band1Vert">
      <w:tblPr>
        <w:tblLayout w:type="fixed"/>
      </w:tblPr>
      <w:tcPr>
        <w:shd w:val="clear" w:color="auto" w:fill="E2EFD9" w:themeFill="accent6" w:themeFillTint="33"/>
      </w:tcPr>
    </w:tblStylePr>
    <w:tblStylePr w:type="band1Horz">
      <w:tblPr>
        <w:tblLayout w:type="fixed"/>
      </w:tblPr>
      <w:tcPr>
        <w:shd w:val="clear" w:color="auto" w:fill="E2EFD9" w:themeFill="accent6" w:themeFillTint="33"/>
      </w:tcPr>
    </w:tblStylePr>
  </w:style>
  <w:style w:type="paragraph" w:customStyle="1" w:styleId="49">
    <w:name w:val="List Paragraph"/>
    <w:basedOn w:val="1"/>
    <w:qFormat/>
    <w:uiPriority w:val="34"/>
    <w:pPr>
      <w:ind w:firstLine="420" w:firstLineChars="200"/>
    </w:pPr>
  </w:style>
  <w:style w:type="table" w:customStyle="1" w:styleId="50">
    <w:name w:val="Grid Table 4 Accent 2"/>
    <w:basedOn w:val="22"/>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Pr>
    <w:tblStylePr w:type="firstRow">
      <w:rPr>
        <w:b/>
        <w:bCs/>
        <w:color w:val="FFFFFF" w:themeColor="background1"/>
        <w14:textFill>
          <w14:solidFill>
            <w14:schemeClr w14:val="bg1"/>
          </w14:solidFill>
        </w14:textFill>
      </w:rPr>
      <w:tblPr>
        <w:tblLayout w:type="fixed"/>
      </w:tbl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blPr>
        <w:tblLayout w:type="fixed"/>
      </w:tblPr>
      <w:tcPr>
        <w:tcBorders>
          <w:top w:val="double" w:color="ED7D31" w:themeColor="accent2" w:sz="4" w:space="0"/>
        </w:tcBorders>
      </w:tcPr>
    </w:tblStylePr>
    <w:tblStylePr w:type="firstCol">
      <w:rPr>
        <w:b/>
        <w:bCs/>
      </w:rPr>
    </w:tblStylePr>
    <w:tblStylePr w:type="lastCol">
      <w:rPr>
        <w:b/>
        <w:bCs/>
      </w:rPr>
    </w:tblStylePr>
    <w:tblStylePr w:type="band1Vert">
      <w:tblPr>
        <w:tblLayout w:type="fixed"/>
      </w:tblPr>
      <w:tcPr>
        <w:shd w:val="clear" w:color="auto" w:fill="FBE4D5" w:themeFill="accent2" w:themeFillTint="33"/>
      </w:tcPr>
    </w:tblStylePr>
    <w:tblStylePr w:type="band1Horz">
      <w:tblPr>
        <w:tblLayout w:type="fixed"/>
      </w:tblPr>
      <w:tcPr>
        <w:shd w:val="clear" w:color="auto" w:fill="FBE4D5" w:themeFill="accent2" w:themeFillTint="33"/>
      </w:tcPr>
    </w:tblStylePr>
  </w:style>
  <w:style w:type="table" w:customStyle="1" w:styleId="51">
    <w:name w:val="Grid Table 4 Accent 1"/>
    <w:basedOn w:val="22"/>
    <w:qFormat/>
    <w:uiPriority w:val="49"/>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Pr>
    <w:tblStylePr w:type="firstRow">
      <w:rPr>
        <w:b/>
        <w:bCs/>
        <w:color w:val="FFFFFF" w:themeColor="background1"/>
        <w14:textFill>
          <w14:solidFill>
            <w14:schemeClr w14:val="bg1"/>
          </w14:solidFill>
        </w14:textFill>
      </w:rPr>
      <w:tblPr>
        <w:tblLayout w:type="fixed"/>
      </w:tbl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blPr>
        <w:tblLayout w:type="fixed"/>
      </w:tblPr>
      <w:tcPr>
        <w:tcBorders>
          <w:top w:val="double" w:color="5B9BD5" w:themeColor="accent1" w:sz="4" w:space="0"/>
        </w:tcBorders>
      </w:tcPr>
    </w:tblStylePr>
    <w:tblStylePr w:type="firstCol">
      <w:rPr>
        <w:b/>
        <w:bCs/>
      </w:rPr>
    </w:tblStylePr>
    <w:tblStylePr w:type="lastCol">
      <w:rPr>
        <w:b/>
        <w:bCs/>
      </w:rPr>
    </w:tblStylePr>
    <w:tblStylePr w:type="band1Vert">
      <w:tblPr>
        <w:tblLayout w:type="fixed"/>
      </w:tblPr>
      <w:tcPr>
        <w:shd w:val="clear" w:color="auto" w:fill="DEEAF6" w:themeFill="accent1" w:themeFillTint="33"/>
      </w:tcPr>
    </w:tblStylePr>
    <w:tblStylePr w:type="band1Horz">
      <w:tblPr>
        <w:tblLayout w:type="fixed"/>
      </w:tblPr>
      <w:tcPr>
        <w:shd w:val="clear" w:color="auto" w:fill="DEEAF6" w:themeFill="accent1" w:themeFillTint="33"/>
      </w:tcPr>
    </w:tblStylePr>
  </w:style>
  <w:style w:type="character" w:customStyle="1" w:styleId="52">
    <w:name w:val="题注 Char"/>
    <w:link w:val="8"/>
    <w:qFormat/>
    <w:uiPriority w:val="0"/>
    <w:rPr>
      <w:rFonts w:eastAsia="黑体" w:asciiTheme="majorHAnsi" w:hAnsiTheme="majorHAnsi" w:cstheme="majorBidi"/>
      <w:sz w:val="20"/>
      <w:szCs w:val="20"/>
    </w:rPr>
  </w:style>
  <w:style w:type="table" w:customStyle="1" w:styleId="53">
    <w:name w:val="Grid Table 1 Light Accent 1"/>
    <w:basedOn w:val="22"/>
    <w:qFormat/>
    <w:uiPriority w:val="46"/>
    <w:tblPr>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Layout w:type="fixed"/>
    </w:tblPr>
    <w:tblStylePr w:type="firstRow">
      <w:rPr>
        <w:b/>
        <w:bCs/>
      </w:rPr>
      <w:tblPr>
        <w:tblLayout w:type="fixed"/>
      </w:tblPr>
      <w:tcPr>
        <w:tcBorders>
          <w:bottom w:val="single" w:color="9CC2E5" w:themeColor="accent1" w:themeTint="99" w:sz="12" w:space="0"/>
        </w:tcBorders>
      </w:tcPr>
    </w:tblStylePr>
    <w:tblStylePr w:type="lastRow">
      <w:rPr>
        <w:b/>
        <w:bCs/>
      </w:rPr>
      <w:tblPr>
        <w:tblLayout w:type="fixed"/>
      </w:tblPr>
      <w:tcPr>
        <w:tcBorders>
          <w:top w:val="double" w:color="9CC2E5" w:themeColor="accent1" w:themeTint="99" w:sz="2" w:space="0"/>
        </w:tcBorders>
      </w:tcPr>
    </w:tblStylePr>
    <w:tblStylePr w:type="firstCol">
      <w:rPr>
        <w:b/>
        <w:bCs/>
      </w:rPr>
    </w:tblStylePr>
    <w:tblStylePr w:type="lastCol">
      <w:rPr>
        <w:b/>
        <w:bCs/>
      </w:rPr>
    </w:tblStylePr>
  </w:style>
  <w:style w:type="paragraph" w:customStyle="1" w:styleId="54">
    <w:name w:val="列出段落1"/>
    <w:basedOn w:val="1"/>
    <w:qFormat/>
    <w:uiPriority w:val="34"/>
    <w:pPr>
      <w:ind w:firstLine="42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5" Type="http://schemas.openxmlformats.org/officeDocument/2006/relationships/glossaryDocument" Target="glossary/document.xml"/><Relationship Id="rId84" Type="http://schemas.openxmlformats.org/officeDocument/2006/relationships/fontTable" Target="fontTable.xml"/><Relationship Id="rId83" Type="http://schemas.openxmlformats.org/officeDocument/2006/relationships/customXml" Target="../customXml/item2.xml"/><Relationship Id="rId82" Type="http://schemas.openxmlformats.org/officeDocument/2006/relationships/customXml" Target="../customXml/item1.xml"/><Relationship Id="rId81" Type="http://schemas.openxmlformats.org/officeDocument/2006/relationships/chart" Target="charts/chart63.xml"/><Relationship Id="rId80" Type="http://schemas.openxmlformats.org/officeDocument/2006/relationships/chart" Target="charts/chart62.xml"/><Relationship Id="rId8" Type="http://schemas.openxmlformats.org/officeDocument/2006/relationships/footer" Target="footer3.xml"/><Relationship Id="rId79" Type="http://schemas.openxmlformats.org/officeDocument/2006/relationships/image" Target="media/image8.png"/><Relationship Id="rId78" Type="http://schemas.openxmlformats.org/officeDocument/2006/relationships/chart" Target="charts/chart61.xml"/><Relationship Id="rId77" Type="http://schemas.openxmlformats.org/officeDocument/2006/relationships/chart" Target="charts/chart60.xml"/><Relationship Id="rId76" Type="http://schemas.openxmlformats.org/officeDocument/2006/relationships/chart" Target="charts/chart59.xml"/><Relationship Id="rId75" Type="http://schemas.openxmlformats.org/officeDocument/2006/relationships/chart" Target="charts/chart58.xml"/><Relationship Id="rId74" Type="http://schemas.openxmlformats.org/officeDocument/2006/relationships/chart" Target="charts/chart57.xml"/><Relationship Id="rId73" Type="http://schemas.openxmlformats.org/officeDocument/2006/relationships/chart" Target="charts/chart56.xml"/><Relationship Id="rId72" Type="http://schemas.openxmlformats.org/officeDocument/2006/relationships/chart" Target="charts/chart55.xml"/><Relationship Id="rId71" Type="http://schemas.openxmlformats.org/officeDocument/2006/relationships/chart" Target="charts/chart54.xml"/><Relationship Id="rId70" Type="http://schemas.openxmlformats.org/officeDocument/2006/relationships/chart" Target="charts/chart53.xml"/><Relationship Id="rId7" Type="http://schemas.openxmlformats.org/officeDocument/2006/relationships/footer" Target="footer2.xml"/><Relationship Id="rId69" Type="http://schemas.openxmlformats.org/officeDocument/2006/relationships/chart" Target="charts/chart52.xml"/><Relationship Id="rId68" Type="http://schemas.openxmlformats.org/officeDocument/2006/relationships/chart" Target="charts/chart51.xml"/><Relationship Id="rId67" Type="http://schemas.openxmlformats.org/officeDocument/2006/relationships/chart" Target="charts/chart50.xml"/><Relationship Id="rId66" Type="http://schemas.openxmlformats.org/officeDocument/2006/relationships/chart" Target="charts/chart49.xml"/><Relationship Id="rId65" Type="http://schemas.openxmlformats.org/officeDocument/2006/relationships/chart" Target="charts/chart48.xml"/><Relationship Id="rId64" Type="http://schemas.openxmlformats.org/officeDocument/2006/relationships/chart" Target="charts/chart47.xml"/><Relationship Id="rId63" Type="http://schemas.openxmlformats.org/officeDocument/2006/relationships/chart" Target="charts/chart46.xml"/><Relationship Id="rId62" Type="http://schemas.openxmlformats.org/officeDocument/2006/relationships/chart" Target="charts/chart45.xml"/><Relationship Id="rId61" Type="http://schemas.openxmlformats.org/officeDocument/2006/relationships/image" Target="media/image7.emf"/><Relationship Id="rId60" Type="http://schemas.openxmlformats.org/officeDocument/2006/relationships/oleObject" Target="embeddings/oleObject1.bin"/><Relationship Id="rId6" Type="http://schemas.openxmlformats.org/officeDocument/2006/relationships/footer" Target="footer1.xml"/><Relationship Id="rId59" Type="http://schemas.openxmlformats.org/officeDocument/2006/relationships/chart" Target="charts/chart44.xml"/><Relationship Id="rId58" Type="http://schemas.openxmlformats.org/officeDocument/2006/relationships/chart" Target="charts/chart43.xml"/><Relationship Id="rId57" Type="http://schemas.openxmlformats.org/officeDocument/2006/relationships/chart" Target="charts/chart42.xml"/><Relationship Id="rId56" Type="http://schemas.openxmlformats.org/officeDocument/2006/relationships/chart" Target="charts/chart41.xml"/><Relationship Id="rId55" Type="http://schemas.openxmlformats.org/officeDocument/2006/relationships/chart" Target="charts/chart40.xml"/><Relationship Id="rId54" Type="http://schemas.openxmlformats.org/officeDocument/2006/relationships/chart" Target="charts/chart39.xml"/><Relationship Id="rId53" Type="http://schemas.openxmlformats.org/officeDocument/2006/relationships/chart" Target="charts/chart38.xml"/><Relationship Id="rId52" Type="http://schemas.openxmlformats.org/officeDocument/2006/relationships/chart" Target="charts/chart37.xml"/><Relationship Id="rId51" Type="http://schemas.openxmlformats.org/officeDocument/2006/relationships/chart" Target="charts/chart36.xml"/><Relationship Id="rId50" Type="http://schemas.openxmlformats.org/officeDocument/2006/relationships/chart" Target="charts/chart35.xml"/><Relationship Id="rId5" Type="http://schemas.openxmlformats.org/officeDocument/2006/relationships/header" Target="header3.xml"/><Relationship Id="rId49" Type="http://schemas.openxmlformats.org/officeDocument/2006/relationships/chart" Target="charts/chart34.xml"/><Relationship Id="rId48" Type="http://schemas.openxmlformats.org/officeDocument/2006/relationships/chart" Target="charts/chart33.xml"/><Relationship Id="rId47" Type="http://schemas.openxmlformats.org/officeDocument/2006/relationships/chart" Target="charts/chart32.xml"/><Relationship Id="rId46" Type="http://schemas.openxmlformats.org/officeDocument/2006/relationships/chart" Target="charts/chart31.xml"/><Relationship Id="rId45" Type="http://schemas.openxmlformats.org/officeDocument/2006/relationships/chart" Target="charts/chart30.xml"/><Relationship Id="rId44" Type="http://schemas.openxmlformats.org/officeDocument/2006/relationships/image" Target="media/image6.png"/><Relationship Id="rId43" Type="http://schemas.openxmlformats.org/officeDocument/2006/relationships/chart" Target="charts/chart29.xml"/><Relationship Id="rId42" Type="http://schemas.openxmlformats.org/officeDocument/2006/relationships/chart" Target="charts/chart28.xml"/><Relationship Id="rId41" Type="http://schemas.openxmlformats.org/officeDocument/2006/relationships/chart" Target="charts/chart27.xml"/><Relationship Id="rId40" Type="http://schemas.openxmlformats.org/officeDocument/2006/relationships/chart" Target="charts/chart26.xml"/><Relationship Id="rId4" Type="http://schemas.openxmlformats.org/officeDocument/2006/relationships/header" Target="header2.xml"/><Relationship Id="rId39" Type="http://schemas.openxmlformats.org/officeDocument/2006/relationships/chart" Target="charts/chart25.xml"/><Relationship Id="rId38" Type="http://schemas.openxmlformats.org/officeDocument/2006/relationships/chart" Target="charts/chart24.xml"/><Relationship Id="rId37" Type="http://schemas.openxmlformats.org/officeDocument/2006/relationships/chart" Target="charts/chart23.xml"/><Relationship Id="rId36" Type="http://schemas.openxmlformats.org/officeDocument/2006/relationships/chart" Target="charts/chart22.xml"/><Relationship Id="rId35" Type="http://schemas.openxmlformats.org/officeDocument/2006/relationships/chart" Target="charts/chart21.xml"/><Relationship Id="rId34" Type="http://schemas.openxmlformats.org/officeDocument/2006/relationships/chart" Target="charts/chart20.xml"/><Relationship Id="rId33" Type="http://schemas.openxmlformats.org/officeDocument/2006/relationships/chart" Target="charts/chart19.xml"/><Relationship Id="rId32" Type="http://schemas.openxmlformats.org/officeDocument/2006/relationships/chart" Target="charts/chart18.xml"/><Relationship Id="rId31" Type="http://schemas.openxmlformats.org/officeDocument/2006/relationships/chart" Target="charts/chart17.xml"/><Relationship Id="rId30" Type="http://schemas.openxmlformats.org/officeDocument/2006/relationships/chart" Target="charts/chart16.xml"/><Relationship Id="rId3" Type="http://schemas.openxmlformats.org/officeDocument/2006/relationships/header" Target="header1.xml"/><Relationship Id="rId29" Type="http://schemas.openxmlformats.org/officeDocument/2006/relationships/chart" Target="charts/chart15.xml"/><Relationship Id="rId28" Type="http://schemas.openxmlformats.org/officeDocument/2006/relationships/image" Target="media/image5.png"/><Relationship Id="rId27" Type="http://schemas.openxmlformats.org/officeDocument/2006/relationships/chart" Target="charts/chart14.xml"/><Relationship Id="rId26" Type="http://schemas.openxmlformats.org/officeDocument/2006/relationships/chart" Target="charts/chart13.xml"/><Relationship Id="rId25" Type="http://schemas.openxmlformats.org/officeDocument/2006/relationships/chart" Target="charts/chart12.xml"/><Relationship Id="rId24" Type="http://schemas.openxmlformats.org/officeDocument/2006/relationships/chart" Target="charts/chart11.xml"/><Relationship Id="rId23" Type="http://schemas.openxmlformats.org/officeDocument/2006/relationships/chart" Target="charts/chart10.xml"/><Relationship Id="rId22" Type="http://schemas.openxmlformats.org/officeDocument/2006/relationships/chart" Target="charts/chart9.xml"/><Relationship Id="rId21" Type="http://schemas.openxmlformats.org/officeDocument/2006/relationships/chart" Target="charts/chart8.xml"/><Relationship Id="rId20" Type="http://schemas.openxmlformats.org/officeDocument/2006/relationships/chart" Target="charts/chart7.xml"/><Relationship Id="rId2" Type="http://schemas.openxmlformats.org/officeDocument/2006/relationships/settings" Target="settings.xml"/><Relationship Id="rId19" Type="http://schemas.openxmlformats.org/officeDocument/2006/relationships/chart" Target="charts/chart6.xml"/><Relationship Id="rId18" Type="http://schemas.openxmlformats.org/officeDocument/2006/relationships/chart" Target="charts/chart5.xml"/><Relationship Id="rId17" Type="http://schemas.openxmlformats.org/officeDocument/2006/relationships/chart" Target="charts/chart4.xml"/><Relationship Id="rId16" Type="http://schemas.openxmlformats.org/officeDocument/2006/relationships/chart" Target="charts/chart3.xml"/><Relationship Id="rId15" Type="http://schemas.openxmlformats.org/officeDocument/2006/relationships/image" Target="media/image4.png"/><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dfhj\Desktop\&#21830;&#23398;&#38498;&#22522;&#30784;&#25968;&#25454;\2016&#23626;&#28246;&#21335;&#21830;&#23398;&#38498;&#22522;&#30784;&#25968;&#25454;.xlsx" TargetMode="External"/></Relationships>
</file>

<file path=word/charts/_rels/chart10.xml.rels><?xml version="1.0" encoding="UTF-8" standalone="yes"?>
<Relationships xmlns="http://schemas.openxmlformats.org/package/2006/relationships"><Relationship Id="rId3" Type="http://schemas.microsoft.com/office/2011/relationships/chartColorStyle" Target="colors55.xml"/><Relationship Id="rId2" Type="http://schemas.microsoft.com/office/2011/relationships/chartStyle" Target="style55.xml"/><Relationship Id="rId1" Type="http://schemas.openxmlformats.org/officeDocument/2006/relationships/oleObject" Target="file:///E:\&#36127;&#36131;&#38498;&#26657;&#36827;&#24230;&#36164;&#26009;&#34920;\&#24050;&#23436;&#25104;&#23398;&#26657;\&#28246;&#21335;&#21830;&#23398;&#38498;&#36164;&#26009;&#65288;1116&#27491;&#22312;&#20462;&#25913;&#65289;\&#21830;&#23398;&#38498;&#22522;&#30784;&#25968;&#25454;\2016&#23626;&#28246;&#21335;&#21830;&#23398;&#38498;&#22522;&#30784;&#25968;&#25454;.xlsx" TargetMode="External"/></Relationships>
</file>

<file path=word/charts/_rels/chart11.xml.rels><?xml version="1.0" encoding="UTF-8" standalone="yes"?>
<Relationships xmlns="http://schemas.openxmlformats.org/package/2006/relationships"><Relationship Id="rId3" Type="http://schemas.microsoft.com/office/2011/relationships/chartColorStyle" Target="colors56.xml"/><Relationship Id="rId2" Type="http://schemas.microsoft.com/office/2011/relationships/chartStyle" Target="style56.xml"/><Relationship Id="rId1" Type="http://schemas.openxmlformats.org/officeDocument/2006/relationships/oleObject" Target="file:///C:\Users\dfhj\Desktop\&#21830;&#23398;&#38498;&#22522;&#30784;&#25968;&#25454;\2016&#23626;&#28246;&#21335;&#21830;&#23398;&#38498;&#22522;&#30784;&#25968;&#25454;.xlsx" TargetMode="External"/></Relationships>
</file>

<file path=word/charts/_rels/chart12.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oleObject" Target="file:///C:\Users\dfhj\Desktop\&#21830;&#23398;&#38498;&#22522;&#30784;&#25968;&#25454;\2016&#23626;&#28246;&#21335;&#21830;&#23398;&#38498;&#22522;&#30784;&#25968;&#25454;.xlsx" TargetMode="External"/></Relationships>
</file>

<file path=word/charts/_rels/chart13.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oleObject" Target="file:///E:\&#36127;&#36131;&#38498;&#26657;&#36827;&#24230;&#36164;&#26009;&#34920;\&#24050;&#23436;&#25104;&#23398;&#26657;\&#28246;&#21335;&#21830;&#23398;&#38498;&#36164;&#26009;&#65288;1121&#24050;&#23436;&#25104;&#65289;\&#21830;&#23398;&#38498;&#22522;&#30784;&#25968;&#25454;\2016&#28246;&#21335;&#21830;&#23398;&#38498;&#26377;&#22320;&#22336;&#22522;&#30784;&#25968;&#25454;.xlsx" TargetMode="External"/></Relationships>
</file>

<file path=word/charts/_rels/chart14.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oleObject" Target="file:///E:\&#36127;&#36131;&#38498;&#26657;&#36827;&#24230;&#36164;&#26009;&#34920;\&#24050;&#23436;&#25104;&#23398;&#26657;\&#28246;&#21335;&#21830;&#23398;&#38498;&#36164;&#26009;&#65288;1121&#24050;&#23436;&#25104;&#65289;\&#21830;&#23398;&#38498;&#22522;&#30784;&#25968;&#25454;\2016&#28246;&#21335;&#21830;&#23398;&#38498;&#26377;&#22320;&#22336;&#22522;&#30784;&#25968;&#25454;.xlsx" TargetMode="External"/></Relationships>
</file>

<file path=word/charts/_rels/chart15.xml.rels><?xml version="1.0" encoding="UTF-8" standalone="yes"?>
<Relationships xmlns="http://schemas.openxmlformats.org/package/2006/relationships"><Relationship Id="rId3" Type="http://schemas.microsoft.com/office/2011/relationships/chartColorStyle" Target="colors19.xml"/><Relationship Id="rId2" Type="http://schemas.microsoft.com/office/2011/relationships/chartStyle" Target="style19.xml"/><Relationship Id="rId1" Type="http://schemas.openxmlformats.org/officeDocument/2006/relationships/oleObject" Target="file:///C:\Users\dfhj\Desktop\2016&#28246;&#21335;&#21830;&#23398;&#38498;&#26377;&#22320;&#22336;&#22522;&#30784;&#25968;&#25454;.xlsx" TargetMode="External"/></Relationships>
</file>

<file path=word/charts/_rels/chart16.xml.rels><?xml version="1.0" encoding="UTF-8" standalone="yes"?>
<Relationships xmlns="http://schemas.openxmlformats.org/package/2006/relationships"><Relationship Id="rId3" Type="http://schemas.microsoft.com/office/2011/relationships/chartColorStyle" Target="colors20.xml"/><Relationship Id="rId2" Type="http://schemas.microsoft.com/office/2011/relationships/chartStyle" Target="style20.xml"/><Relationship Id="rId1" Type="http://schemas.openxmlformats.org/officeDocument/2006/relationships/oleObject" Target="file:///E:\&#36127;&#36131;&#38498;&#26657;&#36827;&#24230;&#36164;&#26009;&#34920;\&#24050;&#23436;&#25104;&#23398;&#26657;\&#28246;&#21335;&#21830;&#23398;&#38498;&#36164;&#26009;&#65288;1121&#24050;&#23436;&#25104;&#65289;\&#21830;&#23398;&#38498;&#22522;&#30784;&#25968;&#25454;\2016&#28246;&#21335;&#21830;&#23398;&#38498;&#26377;&#22320;&#22336;&#22522;&#30784;&#25968;&#25454;.xlsx" TargetMode="External"/></Relationships>
</file>

<file path=word/charts/_rels/chart17.xml.rels><?xml version="1.0" encoding="UTF-8" standalone="yes"?>
<Relationships xmlns="http://schemas.openxmlformats.org/package/2006/relationships"><Relationship Id="rId3" Type="http://schemas.microsoft.com/office/2011/relationships/chartColorStyle" Target="colors21.xml"/><Relationship Id="rId2" Type="http://schemas.microsoft.com/office/2011/relationships/chartStyle" Target="style21.xml"/><Relationship Id="rId1" Type="http://schemas.openxmlformats.org/officeDocument/2006/relationships/oleObject" Target="file:///C:\Users\dfhj\Documents\Tencent%20Files\1401503805\FileRecv\&#28246;&#21335;&#21830;&#23398;&#38498;&#35843;&#30740;&#25968;&#25454;-&#23601;&#19994;&#31867;&#25972;&#29702;.xlsx" TargetMode="External"/></Relationships>
</file>

<file path=word/charts/_rels/chart18.xml.rels><?xml version="1.0" encoding="UTF-8" standalone="yes"?>
<Relationships xmlns="http://schemas.openxmlformats.org/package/2006/relationships"><Relationship Id="rId3" Type="http://schemas.microsoft.com/office/2011/relationships/chartColorStyle" Target="colors22.xml"/><Relationship Id="rId2" Type="http://schemas.microsoft.com/office/2011/relationships/chartStyle" Target="style22.xml"/><Relationship Id="rId1" Type="http://schemas.openxmlformats.org/officeDocument/2006/relationships/oleObject" Target="file:///C:\Users\lxx\Desktop\&#28246;&#21335;&#21830;&#23398;&#38498;&#35843;&#30740;&#25968;&#25454;-&#23601;&#19994;&#31867;&#25972;&#29702;.xlsx" TargetMode="External"/></Relationships>
</file>

<file path=word/charts/_rels/chart19.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oleObject" Target="file:///C:\Users\lxx\Desktop\&#28246;&#21335;&#21830;&#23398;&#38498;&#35843;&#30740;&#25968;&#25454;-&#23601;&#19994;&#31867;&#25972;&#29702;.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embeddings/oleObject2.bin"/></Relationships>
</file>

<file path=word/charts/_rels/chart20.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oleObject" Target="file:///C:\Users\lxx\Desktop\&#28246;&#21335;&#21830;&#23398;&#38498;&#35843;&#30740;&#25968;&#25454;-&#23601;&#19994;&#31867;&#25972;&#29702;.xlsx" TargetMode="External"/></Relationships>
</file>

<file path=word/charts/_rels/chart21.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oleObject" Target="file:///C:\Users\lxx\Desktop\&#28246;&#21335;&#21830;&#23398;&#38498;&#35843;&#30740;&#25968;&#25454;-&#23601;&#19994;&#31867;&#25972;&#29702;.xlsx" TargetMode="External"/></Relationships>
</file>

<file path=word/charts/_rels/chart22.xml.rels><?xml version="1.0" encoding="UTF-8" standalone="yes"?>
<Relationships xmlns="http://schemas.openxmlformats.org/package/2006/relationships"><Relationship Id="rId3" Type="http://schemas.microsoft.com/office/2011/relationships/chartColorStyle" Target="colors18.xml"/><Relationship Id="rId2" Type="http://schemas.microsoft.com/office/2011/relationships/chartStyle" Target="style18.xml"/><Relationship Id="rId1" Type="http://schemas.openxmlformats.org/officeDocument/2006/relationships/oleObject" Target="file:///E:\&#36127;&#36131;&#38498;&#26657;&#36827;&#24230;&#36164;&#26009;&#34920;\&#24050;&#23436;&#25104;&#23398;&#26657;\&#28246;&#21335;&#21830;&#23398;&#38498;&#36164;&#26009;&#65288;1121&#24050;&#23436;&#25104;&#65289;\&#21830;&#23398;&#38498;&#22522;&#30784;&#25968;&#25454;\2016&#23626;&#28246;&#21335;&#21830;&#23398;&#38498;&#22522;&#30784;&#25968;&#25454;.xlsx" TargetMode="External"/></Relationships>
</file>

<file path=word/charts/_rels/chart23.xml.rels><?xml version="1.0" encoding="UTF-8" standalone="yes"?>
<Relationships xmlns="http://schemas.openxmlformats.org/package/2006/relationships"><Relationship Id="rId3" Type="http://schemas.microsoft.com/office/2011/relationships/chartColorStyle" Target="colors35.xml"/><Relationship Id="rId2" Type="http://schemas.microsoft.com/office/2011/relationships/chartStyle" Target="style35.xml"/><Relationship Id="rId1" Type="http://schemas.openxmlformats.org/officeDocument/2006/relationships/oleObject" Target="file:///C:\Users\lxx\Desktop\&#28246;&#21335;&#21830;&#23398;&#38498;&#35843;&#30740;&#25968;&#25454;-&#23601;&#19994;&#31867;&#25972;&#29702;.xlsx" TargetMode="External"/></Relationships>
</file>

<file path=word/charts/_rels/chart24.xml.rels><?xml version="1.0" encoding="UTF-8" standalone="yes"?>
<Relationships xmlns="http://schemas.openxmlformats.org/package/2006/relationships"><Relationship Id="rId3" Type="http://schemas.microsoft.com/office/2011/relationships/chartColorStyle" Target="colors36.xml"/><Relationship Id="rId2" Type="http://schemas.microsoft.com/office/2011/relationships/chartStyle" Target="style36.xml"/><Relationship Id="rId1" Type="http://schemas.openxmlformats.org/officeDocument/2006/relationships/oleObject" Target="file:///C:\Users\lxx\Desktop\&#28246;&#21335;&#21830;&#23398;&#38498;&#35843;&#30740;&#25968;&#25454;-&#23601;&#19994;&#31867;&#25972;&#29702;.xlsx" TargetMode="External"/></Relationships>
</file>

<file path=word/charts/_rels/chart25.xml.rels><?xml version="1.0" encoding="UTF-8" standalone="yes"?>
<Relationships xmlns="http://schemas.openxmlformats.org/package/2006/relationships"><Relationship Id="rId3" Type="http://schemas.microsoft.com/office/2011/relationships/chartColorStyle" Target="colors37.xml"/><Relationship Id="rId2" Type="http://schemas.microsoft.com/office/2011/relationships/chartStyle" Target="style37.xml"/><Relationship Id="rId1" Type="http://schemas.openxmlformats.org/officeDocument/2006/relationships/oleObject" Target="file:///C:\Users\lxx\Desktop\&#28246;&#21335;&#21830;&#23398;&#38498;&#35843;&#30740;&#25968;&#25454;-&#23601;&#19994;&#31867;&#25972;&#29702;.xlsx" TargetMode="External"/></Relationships>
</file>

<file path=word/charts/_rels/chart26.xml.rels><?xml version="1.0" encoding="UTF-8" standalone="yes"?>
<Relationships xmlns="http://schemas.openxmlformats.org/package/2006/relationships"><Relationship Id="rId3" Type="http://schemas.microsoft.com/office/2011/relationships/chartColorStyle" Target="colors38.xml"/><Relationship Id="rId2" Type="http://schemas.microsoft.com/office/2011/relationships/chartStyle" Target="style38.xml"/><Relationship Id="rId1" Type="http://schemas.openxmlformats.org/officeDocument/2006/relationships/oleObject" Target="file:///C:\Users\lxx\Desktop\&#28246;&#21335;&#21830;&#23398;&#38498;&#35843;&#30740;&#25968;&#25454;-&#23601;&#19994;&#31867;&#25972;&#29702;.xlsx" TargetMode="External"/></Relationships>
</file>

<file path=word/charts/_rels/chart27.xml.rels><?xml version="1.0" encoding="UTF-8" standalone="yes"?>
<Relationships xmlns="http://schemas.openxmlformats.org/package/2006/relationships"><Relationship Id="rId3" Type="http://schemas.microsoft.com/office/2011/relationships/chartColorStyle" Target="colors31.xml"/><Relationship Id="rId2" Type="http://schemas.microsoft.com/office/2011/relationships/chartStyle" Target="style31.xml"/><Relationship Id="rId1" Type="http://schemas.openxmlformats.org/officeDocument/2006/relationships/oleObject" Target="file:///E:\&#28246;&#21335;&#30465;&#21381;&#22522;&#30784;&#25968;&#25454;&#37096;&#20998;10.24\&#28246;&#21335;&#30465;&#21381;&#22522;&#30784;&#25968;&#25454;2016.xlsx" TargetMode="External"/></Relationships>
</file>

<file path=word/charts/_rels/chart28.xml.rels><?xml version="1.0" encoding="UTF-8" standalone="yes"?>
<Relationships xmlns="http://schemas.openxmlformats.org/package/2006/relationships"><Relationship Id="rId3" Type="http://schemas.microsoft.com/office/2011/relationships/chartColorStyle" Target="colors32.xml"/><Relationship Id="rId2" Type="http://schemas.microsoft.com/office/2011/relationships/chartStyle" Target="style32.xml"/><Relationship Id="rId1" Type="http://schemas.openxmlformats.org/officeDocument/2006/relationships/oleObject" Target="file:///C:\Users\lxx\Desktop\&#28246;&#21335;&#21830;&#23398;&#38498;&#35843;&#30740;&#25968;&#25454;-&#23601;&#19994;&#31867;&#25972;&#29702;.xlsx" TargetMode="External"/></Relationships>
</file>

<file path=word/charts/_rels/chart29.xml.rels><?xml version="1.0" encoding="UTF-8" standalone="yes"?>
<Relationships xmlns="http://schemas.openxmlformats.org/package/2006/relationships"><Relationship Id="rId3" Type="http://schemas.microsoft.com/office/2011/relationships/chartColorStyle" Target="colors33.xml"/><Relationship Id="rId2" Type="http://schemas.microsoft.com/office/2011/relationships/chartStyle" Target="style33.xml"/><Relationship Id="rId1" Type="http://schemas.openxmlformats.org/officeDocument/2006/relationships/oleObject" Target="file:///C:\Users\lxx\Desktop\&#28246;&#21335;&#21830;&#23398;&#38498;&#35843;&#30740;&#25968;&#25454;-&#23601;&#19994;&#31867;&#25972;&#29702;.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6.xml"/><Relationship Id="rId2" Type="http://schemas.microsoft.com/office/2011/relationships/chartStyle" Target="style26.xml"/><Relationship Id="rId1" Type="http://schemas.openxmlformats.org/officeDocument/2006/relationships/oleObject" Target="file:///C:\Users\dfhj\Desktop\&#21830;&#23398;&#38498;&#22522;&#30784;&#25968;&#25454;\2016&#23626;&#28246;&#21335;&#21830;&#23398;&#38498;&#22522;&#30784;&#25968;&#25454;.xlsx" TargetMode="External"/></Relationships>
</file>

<file path=word/charts/_rels/chart30.xml.rels><?xml version="1.0" encoding="UTF-8" standalone="yes"?>
<Relationships xmlns="http://schemas.openxmlformats.org/package/2006/relationships"><Relationship Id="rId3" Type="http://schemas.microsoft.com/office/2011/relationships/chartColorStyle" Target="colors34.xml"/><Relationship Id="rId2" Type="http://schemas.microsoft.com/office/2011/relationships/chartStyle" Target="style34.xml"/><Relationship Id="rId1" Type="http://schemas.openxmlformats.org/officeDocument/2006/relationships/oleObject" Target="file:///D:\&#20048;&#26131;&#32771;&#24037;&#20316;&#25991;&#20214;\&#39033;&#30446;&#25991;&#20214;\2016&#24180;&#39033;&#30446;\&#28246;&#21335;\&#28246;&#21335;&#23398;&#26657;\&#28246;&#21335;&#24314;&#27169;&#25968;&#25454;&#31532;&#20108;&#25209;1104\&#31532;&#20108;&#25209;&#24314;&#31435;&#27169;&#22411;&#25968;&#25454;&#20998;&#26512;.xlsx" TargetMode="External"/></Relationships>
</file>

<file path=word/charts/_rels/chart31.xml.rels><?xml version="1.0" encoding="UTF-8" standalone="yes"?>
<Relationships xmlns="http://schemas.openxmlformats.org/package/2006/relationships"><Relationship Id="rId3" Type="http://schemas.microsoft.com/office/2011/relationships/chartColorStyle" Target="colors39.xml"/><Relationship Id="rId2" Type="http://schemas.microsoft.com/office/2011/relationships/chartStyle" Target="style39.xml"/><Relationship Id="rId1" Type="http://schemas.openxmlformats.org/officeDocument/2006/relationships/oleObject" Target="file:///D:\&#20048;&#26131;&#32771;&#24037;&#20316;&#25991;&#20214;\&#39033;&#30446;&#25991;&#20214;\2016&#24180;&#39033;&#30446;\&#28246;&#21335;\&#28246;&#21335;&#23398;&#26657;\&#28246;&#21335;&#24314;&#27169;&#25968;&#25454;&#31532;&#20108;&#25209;1104\&#31532;&#20108;&#25209;&#24314;&#31435;&#27169;&#22411;&#25968;&#25454;&#20998;&#26512;.xlsx" TargetMode="External"/></Relationships>
</file>

<file path=word/charts/_rels/chart32.xml.rels><?xml version="1.0" encoding="UTF-8" standalone="yes"?>
<Relationships xmlns="http://schemas.openxmlformats.org/package/2006/relationships"><Relationship Id="rId3" Type="http://schemas.microsoft.com/office/2011/relationships/chartColorStyle" Target="colors40.xml"/><Relationship Id="rId2" Type="http://schemas.microsoft.com/office/2011/relationships/chartStyle" Target="style40.xml"/><Relationship Id="rId1" Type="http://schemas.openxmlformats.org/officeDocument/2006/relationships/oleObject" Target="file:///D:\&#20048;&#26131;&#32771;&#24037;&#20316;&#25991;&#20214;\&#39033;&#30446;&#25991;&#20214;\2016&#24180;&#39033;&#30446;\&#28246;&#21335;\&#28246;&#21335;&#23398;&#26657;\&#28246;&#21335;&#24314;&#27169;&#25968;&#25454;&#31532;&#20108;&#25209;1104\&#31532;&#20108;&#25209;&#24314;&#31435;&#27169;&#22411;&#25968;&#25454;&#20998;&#26512;.xlsx" TargetMode="External"/></Relationships>
</file>

<file path=word/charts/_rels/chart33.xml.rels><?xml version="1.0" encoding="UTF-8" standalone="yes"?>
<Relationships xmlns="http://schemas.openxmlformats.org/package/2006/relationships"><Relationship Id="rId3" Type="http://schemas.microsoft.com/office/2011/relationships/chartColorStyle" Target="colors41.xml"/><Relationship Id="rId2" Type="http://schemas.microsoft.com/office/2011/relationships/chartStyle" Target="style41.xml"/><Relationship Id="rId1" Type="http://schemas.openxmlformats.org/officeDocument/2006/relationships/oleObject" Target="file:///C:\Users\lxx\Desktop\&#28246;&#21335;&#21830;&#23398;&#38498;&#35843;&#30740;&#25968;&#25454;-&#23601;&#19994;&#31867;&#25972;&#29702;.xlsx" TargetMode="External"/></Relationships>
</file>

<file path=word/charts/_rels/chart34.xml.rels><?xml version="1.0" encoding="UTF-8" standalone="yes"?>
<Relationships xmlns="http://schemas.openxmlformats.org/package/2006/relationships"><Relationship Id="rId3" Type="http://schemas.microsoft.com/office/2011/relationships/chartColorStyle" Target="colors42.xml"/><Relationship Id="rId2" Type="http://schemas.microsoft.com/office/2011/relationships/chartStyle" Target="style42.xml"/><Relationship Id="rId1" Type="http://schemas.openxmlformats.org/officeDocument/2006/relationships/oleObject" Target="file:///C:\Users\lxx\Desktop\&#28246;&#21335;&#21830;&#23398;&#38498;&#35843;&#30740;&#25968;&#25454;-&#23601;&#19994;&#31867;&#25972;&#29702;.xlsx" TargetMode="External"/></Relationships>
</file>

<file path=word/charts/_rels/chart35.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Users\lxx\Desktop\&#28246;&#21335;&#21830;&#23398;&#38498;&#35843;&#30740;&#25968;&#25454;-&#23601;&#19994;&#31867;&#25972;&#29702;.xlsx" TargetMode="External"/></Relationships>
</file>

<file path=word/charts/_rels/chart36.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file:///C:\Users\lxx\Desktop\&#28246;&#21335;&#21830;&#23398;&#38498;&#35843;&#30740;&#25968;&#25454;-&#23601;&#19994;&#31867;&#25972;&#29702;.xlsx" TargetMode="External"/></Relationships>
</file>

<file path=word/charts/_rels/chart37.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file:///C:\Users\lxx\Desktop\&#28246;&#21335;&#21830;&#23398;&#38498;&#35843;&#30740;&#25968;&#25454;-&#23601;&#19994;&#31867;&#25972;&#29702;.xlsx" TargetMode="External"/></Relationships>
</file>

<file path=word/charts/_rels/chart38.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file:///C:\Users\lxx\Desktop\&#28246;&#21335;&#21830;&#23398;&#38498;&#35843;&#30740;&#25968;&#25454;-&#23601;&#19994;&#31867;&#25972;&#29702;.xlsx" TargetMode="External"/></Relationships>
</file>

<file path=word/charts/_rels/chart39.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lxx\Desktop\&#28246;&#21335;&#21830;&#23398;&#38498;&#35843;&#30740;&#25968;&#25454;-&#23601;&#19994;&#31867;&#25972;&#29702;.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oleObject" Target="file:///E:\&#36127;&#36131;&#38498;&#26657;&#36827;&#24230;&#36164;&#26009;&#34920;\&#24050;&#23436;&#25104;&#23398;&#26657;\&#28246;&#21335;&#21830;&#23398;&#38498;&#36164;&#26009;&#65288;1121&#24050;&#23436;&#25104;&#65289;\&#21830;&#23398;&#38498;&#22522;&#30784;&#25968;&#25454;\2016&#23626;&#28246;&#21335;&#21830;&#23398;&#38498;&#22522;&#30784;&#25968;&#25454;.xlsx" TargetMode="External"/></Relationships>
</file>

<file path=word/charts/_rels/chart40.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E:\&#36127;&#36131;&#38498;&#26657;&#36827;&#24230;&#36164;&#26009;&#34920;\&#24050;&#23436;&#25104;&#23398;&#26657;\&#28246;&#21335;&#21830;&#23398;&#38498;&#36164;&#26009;&#65288;1121&#24050;&#23436;&#25104;&#65289;\&#21830;&#23398;&#38498;&#22522;&#30784;&#25968;&#25454;\2016&#23626;&#28246;&#21335;&#21830;&#23398;&#38498;&#22522;&#30784;&#25968;&#25454;.xlsx" TargetMode="External"/></Relationships>
</file>

<file path=word/charts/_rels/chart4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lxx\Desktop\&#28246;&#21335;&#21830;&#23398;&#38498;&#35843;&#30740;&#25968;&#25454;-&#23601;&#19994;&#31867;&#25972;&#29702;.xlsx" TargetMode="External"/></Relationships>
</file>

<file path=word/charts/_rels/chart42.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E:\&#26700;&#38754;&#25991;&#20214;10.18\&#28246;&#21335;&#21830;&#23398;&#38498;&#35843;&#30740;&#25968;&#25454;-&#23601;&#19994;&#31867;&#25972;&#29702;.xlsx" TargetMode="External"/></Relationships>
</file>

<file path=word/charts/_rels/chart43.xml.rels><?xml version="1.0" encoding="UTF-8" standalone="yes"?>
<Relationships xmlns="http://schemas.openxmlformats.org/package/2006/relationships"><Relationship Id="rId3" Type="http://schemas.microsoft.com/office/2011/relationships/chartColorStyle" Target="colors23.xml"/><Relationship Id="rId2" Type="http://schemas.microsoft.com/office/2011/relationships/chartStyle" Target="style23.xml"/><Relationship Id="rId1" Type="http://schemas.openxmlformats.org/officeDocument/2006/relationships/oleObject" Target="file:///E:\&#36127;&#36131;&#38498;&#26657;&#36827;&#24230;&#36164;&#26009;&#34920;\&#24050;&#23436;&#25104;&#23398;&#26657;\&#28246;&#21335;&#21830;&#23398;&#38498;&#36164;&#26009;&#65288;1121&#24050;&#23436;&#25104;&#65289;\&#21830;&#23398;&#38498;&#22522;&#30784;&#25968;&#25454;\2016&#23626;&#28246;&#21335;&#21830;&#23398;&#38498;&#22522;&#30784;&#25968;&#25454;.xlsx" TargetMode="External"/></Relationships>
</file>

<file path=word/charts/_rels/chart44.xml.rels><?xml version="1.0" encoding="UTF-8" standalone="yes"?>
<Relationships xmlns="http://schemas.openxmlformats.org/package/2006/relationships"><Relationship Id="rId3" Type="http://schemas.microsoft.com/office/2011/relationships/chartColorStyle" Target="colors24.xml"/><Relationship Id="rId2" Type="http://schemas.microsoft.com/office/2011/relationships/chartStyle" Target="style24.xml"/><Relationship Id="rId1" Type="http://schemas.openxmlformats.org/officeDocument/2006/relationships/oleObject" Target="file:///E:\&#36127;&#36131;&#38498;&#26657;&#36827;&#24230;&#36164;&#26009;&#34920;\&#24050;&#23436;&#25104;&#23398;&#26657;\&#28246;&#21335;&#21830;&#23398;&#38498;&#36164;&#26009;&#65288;1121&#24050;&#23436;&#25104;&#65289;\&#21830;&#23398;&#38498;&#22522;&#30784;&#25968;&#25454;\2016&#23626;&#28246;&#21335;&#21830;&#23398;&#38498;&#22522;&#30784;&#25968;&#25454;.xlsx" TargetMode="External"/></Relationships>
</file>

<file path=word/charts/_rels/chart45.xml.rels><?xml version="1.0" encoding="UTF-8" standalone="yes"?>
<Relationships xmlns="http://schemas.openxmlformats.org/package/2006/relationships"><Relationship Id="rId3" Type="http://schemas.microsoft.com/office/2011/relationships/chartColorStyle" Target="colors25.xml"/><Relationship Id="rId2" Type="http://schemas.microsoft.com/office/2011/relationships/chartStyle" Target="style25.xml"/><Relationship Id="rId1" Type="http://schemas.openxmlformats.org/officeDocument/2006/relationships/oleObject" Target="file:///C:\Users\gaopanpan\Desktop\&#28246;&#21335;&#21830;&#23398;&#38498;&#27597;&#26657;.xlsx" TargetMode="External"/></Relationships>
</file>

<file path=word/charts/_rels/chart46.xml.rels><?xml version="1.0" encoding="UTF-8" standalone="yes"?>
<Relationships xmlns="http://schemas.openxmlformats.org/package/2006/relationships"><Relationship Id="rId3" Type="http://schemas.microsoft.com/office/2011/relationships/chartColorStyle" Target="colors27.xml"/><Relationship Id="rId2" Type="http://schemas.microsoft.com/office/2011/relationships/chartStyle" Target="style27.xml"/><Relationship Id="rId1" Type="http://schemas.openxmlformats.org/officeDocument/2006/relationships/oleObject" Target="file:///C:\Users\gaopanpan\Desktop\&#28246;&#21335;&#21830;&#23398;&#38498;&#27597;&#26657;.xlsx" TargetMode="External"/></Relationships>
</file>

<file path=word/charts/_rels/chart47.xml.rels><?xml version="1.0" encoding="UTF-8" standalone="yes"?>
<Relationships xmlns="http://schemas.openxmlformats.org/package/2006/relationships"><Relationship Id="rId3" Type="http://schemas.microsoft.com/office/2011/relationships/chartColorStyle" Target="colors28.xml"/><Relationship Id="rId2" Type="http://schemas.microsoft.com/office/2011/relationships/chartStyle" Target="style28.xml"/><Relationship Id="rId1" Type="http://schemas.openxmlformats.org/officeDocument/2006/relationships/oleObject" Target="file:///C:\Users\gaopanpan\Desktop\&#28246;&#21335;&#21830;&#23398;&#38498;&#27597;&#26657;.xlsx" TargetMode="External"/></Relationships>
</file>

<file path=word/charts/_rels/chart48.xml.rels><?xml version="1.0" encoding="UTF-8" standalone="yes"?>
<Relationships xmlns="http://schemas.openxmlformats.org/package/2006/relationships"><Relationship Id="rId3" Type="http://schemas.microsoft.com/office/2011/relationships/chartColorStyle" Target="colors29.xml"/><Relationship Id="rId2" Type="http://schemas.microsoft.com/office/2011/relationships/chartStyle" Target="style29.xml"/><Relationship Id="rId1" Type="http://schemas.openxmlformats.org/officeDocument/2006/relationships/oleObject" Target="file:///C:\Users\gaopanpan\Desktop\&#28246;&#21335;&#21830;&#23398;&#38498;&#27597;&#26657;.xlsx" TargetMode="External"/></Relationships>
</file>

<file path=word/charts/_rels/chart49.xml.rels><?xml version="1.0" encoding="UTF-8" standalone="yes"?>
<Relationships xmlns="http://schemas.openxmlformats.org/package/2006/relationships"><Relationship Id="rId3" Type="http://schemas.microsoft.com/office/2011/relationships/chartColorStyle" Target="colors30.xml"/><Relationship Id="rId2" Type="http://schemas.microsoft.com/office/2011/relationships/chartStyle" Target="style30.xml"/><Relationship Id="rId1" Type="http://schemas.openxmlformats.org/officeDocument/2006/relationships/oleObject" Target="file:///C:\Users\gaopanpan\Desktop\&#28246;&#21335;&#21830;&#23398;&#38498;&#27597;&#26657;.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50.xml"/><Relationship Id="rId2" Type="http://schemas.microsoft.com/office/2011/relationships/chartStyle" Target="style50.xml"/><Relationship Id="rId1" Type="http://schemas.openxmlformats.org/officeDocument/2006/relationships/oleObject" Target="file:///E:\&#26410;&#26469;&#24037;&#20316;\&#25105;&#30340;\&#28246;&#21335;&#21830;&#23398;&#38498;\&#21830;&#23398;&#38498;&#22522;&#30784;&#25968;&#25454;\2016&#23626;&#28246;&#21335;&#21830;&#23398;&#38498;&#22522;&#30784;&#25968;&#25454;.xlsx" TargetMode="External"/></Relationships>
</file>

<file path=word/charts/_rels/chart50.xml.rels><?xml version="1.0" encoding="UTF-8" standalone="yes"?>
<Relationships xmlns="http://schemas.openxmlformats.org/package/2006/relationships"><Relationship Id="rId3" Type="http://schemas.microsoft.com/office/2011/relationships/chartColorStyle" Target="colors43.xml"/><Relationship Id="rId2" Type="http://schemas.microsoft.com/office/2011/relationships/chartStyle" Target="style43.xml"/><Relationship Id="rId1" Type="http://schemas.openxmlformats.org/officeDocument/2006/relationships/oleObject" Target="file:///E:\2016\&#35843;&#30740;&#25968;&#25454;\&#28246;&#21335;&#27597;&#26657;\&#31532;&#19977;&#27874;\&#28246;&#21335;&#27597;&#26657;&#31532;&#19977;&#27874;.xlsx" TargetMode="External"/></Relationships>
</file>

<file path=word/charts/_rels/chart51.xml.rels><?xml version="1.0" encoding="UTF-8" standalone="yes"?>
<Relationships xmlns="http://schemas.openxmlformats.org/package/2006/relationships"><Relationship Id="rId3" Type="http://schemas.microsoft.com/office/2011/relationships/chartColorStyle" Target="colors44.xml"/><Relationship Id="rId2" Type="http://schemas.microsoft.com/office/2011/relationships/chartStyle" Target="style44.xml"/><Relationship Id="rId1" Type="http://schemas.openxmlformats.org/officeDocument/2006/relationships/oleObject" Target="file:///E:\2016\&#35843;&#30740;&#25968;&#25454;\&#28246;&#21335;&#27597;&#26657;\&#31532;&#19977;&#27874;\&#28246;&#21335;&#27597;&#26657;&#31532;&#19977;&#27874;.xlsx" TargetMode="External"/></Relationships>
</file>

<file path=word/charts/_rels/chart52.xml.rels><?xml version="1.0" encoding="UTF-8" standalone="yes"?>
<Relationships xmlns="http://schemas.openxmlformats.org/package/2006/relationships"><Relationship Id="rId3" Type="http://schemas.microsoft.com/office/2011/relationships/chartColorStyle" Target="colors45.xml"/><Relationship Id="rId2" Type="http://schemas.microsoft.com/office/2011/relationships/chartStyle" Target="style45.xml"/><Relationship Id="rId1" Type="http://schemas.openxmlformats.org/officeDocument/2006/relationships/oleObject" Target="file:///C:\Users\lxx\Desktop\&#28246;&#21335;&#21830;&#23398;&#38498;&#29992;&#20154;&#21333;&#20301;&#25968;&#25454;&#25972;&#29702;.xlsx" TargetMode="External"/></Relationships>
</file>

<file path=word/charts/_rels/chart53.xml.rels><?xml version="1.0" encoding="UTF-8" standalone="yes"?>
<Relationships xmlns="http://schemas.openxmlformats.org/package/2006/relationships"><Relationship Id="rId3" Type="http://schemas.microsoft.com/office/2011/relationships/chartColorStyle" Target="colors46.xml"/><Relationship Id="rId2" Type="http://schemas.microsoft.com/office/2011/relationships/chartStyle" Target="style46.xml"/><Relationship Id="rId1" Type="http://schemas.openxmlformats.org/officeDocument/2006/relationships/oleObject" Target="file:///C:\Users\lxx\Desktop\&#28246;&#21335;&#21830;&#23398;&#38498;&#29992;&#20154;&#21333;&#20301;&#25968;&#25454;&#25972;&#29702;.xlsx" TargetMode="External"/></Relationships>
</file>

<file path=word/charts/_rels/chart54.xml.rels><?xml version="1.0" encoding="UTF-8" standalone="yes"?>
<Relationships xmlns="http://schemas.openxmlformats.org/package/2006/relationships"><Relationship Id="rId3" Type="http://schemas.microsoft.com/office/2011/relationships/chartColorStyle" Target="colors47.xml"/><Relationship Id="rId2" Type="http://schemas.microsoft.com/office/2011/relationships/chartStyle" Target="style47.xml"/><Relationship Id="rId1" Type="http://schemas.openxmlformats.org/officeDocument/2006/relationships/oleObject" Target="file:///C:\Users\lxx\Desktop\&#28246;&#21335;&#21830;&#23398;&#38498;&#29992;&#20154;&#21333;&#20301;&#25968;&#25454;&#25972;&#29702;.xlsx" TargetMode="External"/></Relationships>
</file>

<file path=word/charts/_rels/chart55.xml.rels><?xml version="1.0" encoding="UTF-8" standalone="yes"?>
<Relationships xmlns="http://schemas.openxmlformats.org/package/2006/relationships"><Relationship Id="rId3" Type="http://schemas.microsoft.com/office/2011/relationships/chartColorStyle" Target="colors48.xml"/><Relationship Id="rId2" Type="http://schemas.microsoft.com/office/2011/relationships/chartStyle" Target="style48.xml"/><Relationship Id="rId1" Type="http://schemas.openxmlformats.org/officeDocument/2006/relationships/oleObject" Target="file:///C:\Users\lxx\Desktop\&#28246;&#21335;&#21830;&#23398;&#38498;&#29992;&#20154;&#21333;&#20301;&#25968;&#25454;&#25972;&#29702;.xlsx" TargetMode="External"/></Relationships>
</file>

<file path=word/charts/_rels/chart56.xml.rels><?xml version="1.0" encoding="UTF-8" standalone="yes"?>
<Relationships xmlns="http://schemas.openxmlformats.org/package/2006/relationships"><Relationship Id="rId3" Type="http://schemas.microsoft.com/office/2011/relationships/chartColorStyle" Target="colors49.xml"/><Relationship Id="rId2" Type="http://schemas.microsoft.com/office/2011/relationships/chartStyle" Target="style49.xml"/><Relationship Id="rId1" Type="http://schemas.openxmlformats.org/officeDocument/2006/relationships/oleObject" Target="file:///C:\Users\lxx\Desktop\&#28246;&#21335;&#21830;&#23398;&#38498;&#29992;&#20154;&#21333;&#20301;&#25968;&#25454;&#25972;&#29702;.xlsx" TargetMode="External"/></Relationships>
</file>

<file path=word/charts/_rels/chart57.xml.rels><?xml version="1.0" encoding="UTF-8" standalone="yes"?>
<Relationships xmlns="http://schemas.openxmlformats.org/package/2006/relationships"><Relationship Id="rId3" Type="http://schemas.microsoft.com/office/2011/relationships/chartColorStyle" Target="colors57.xml"/><Relationship Id="rId2" Type="http://schemas.microsoft.com/office/2011/relationships/chartStyle" Target="style57.xml"/><Relationship Id="rId1" Type="http://schemas.openxmlformats.org/officeDocument/2006/relationships/oleObject" Target="file:///C:\Users\lxx\Desktop\&#28246;&#21335;&#21830;&#23398;&#38498;&#29992;&#20154;&#21333;&#20301;&#25968;&#25454;&#25972;&#29702;.xlsx" TargetMode="External"/></Relationships>
</file>

<file path=word/charts/_rels/chart58.xml.rels><?xml version="1.0" encoding="UTF-8" standalone="yes"?>
<Relationships xmlns="http://schemas.openxmlformats.org/package/2006/relationships"><Relationship Id="rId3" Type="http://schemas.microsoft.com/office/2011/relationships/chartColorStyle" Target="colors58.xml"/><Relationship Id="rId2" Type="http://schemas.microsoft.com/office/2011/relationships/chartStyle" Target="style58.xml"/><Relationship Id="rId1" Type="http://schemas.openxmlformats.org/officeDocument/2006/relationships/oleObject" Target="file:///C:\Users\lxx\Desktop\&#28246;&#21335;&#21830;&#23398;&#38498;&#29992;&#20154;&#21333;&#20301;&#25968;&#25454;&#25972;&#29702;.xlsx" TargetMode="External"/></Relationships>
</file>

<file path=word/charts/_rels/chart59.xml.rels><?xml version="1.0" encoding="UTF-8" standalone="yes"?>
<Relationships xmlns="http://schemas.openxmlformats.org/package/2006/relationships"><Relationship Id="rId3" Type="http://schemas.microsoft.com/office/2011/relationships/chartColorStyle" Target="colors59.xml"/><Relationship Id="rId2" Type="http://schemas.microsoft.com/office/2011/relationships/chartStyle" Target="style59.xml"/><Relationship Id="rId1" Type="http://schemas.openxmlformats.org/officeDocument/2006/relationships/oleObject" Target="file:///C:\Users\lxx\Desktop\&#28246;&#21335;&#21830;&#23398;&#38498;&#29992;&#20154;&#21333;&#20301;&#25968;&#25454;&#25972;&#29702;.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51.xml"/><Relationship Id="rId2" Type="http://schemas.microsoft.com/office/2011/relationships/chartStyle" Target="style51.xml"/><Relationship Id="rId1" Type="http://schemas.openxmlformats.org/officeDocument/2006/relationships/oleObject" Target="file:///G:\&#24050;&#23436;&#25104;&#23398;&#26657;\&#28246;&#21335;&#21830;&#23398;&#38498;&#36164;&#26009;&#65288;1121&#24050;&#23436;&#25104;&#65289;\&#21830;&#23398;&#38498;&#22522;&#30784;&#25968;&#25454;\2016&#23626;&#28246;&#21335;&#21830;&#23398;&#38498;&#22522;&#30784;&#25968;&#25454;.xlsx" TargetMode="External"/></Relationships>
</file>

<file path=word/charts/_rels/chart60.xml.rels><?xml version="1.0" encoding="UTF-8" standalone="yes"?>
<Relationships xmlns="http://schemas.openxmlformats.org/package/2006/relationships"><Relationship Id="rId3" Type="http://schemas.microsoft.com/office/2011/relationships/chartColorStyle" Target="colors60.xml"/><Relationship Id="rId2" Type="http://schemas.microsoft.com/office/2011/relationships/chartStyle" Target="style60.xml"/><Relationship Id="rId1" Type="http://schemas.openxmlformats.org/officeDocument/2006/relationships/oleObject" Target="file:///C:\Users\lxx\Desktop\&#28246;&#21335;&#21830;&#23398;&#38498;&#29992;&#20154;&#21333;&#20301;&#25968;&#25454;&#25972;&#29702;.xlsx" TargetMode="External"/></Relationships>
</file>

<file path=word/charts/_rels/chart61.xml.rels><?xml version="1.0" encoding="UTF-8" standalone="yes"?>
<Relationships xmlns="http://schemas.openxmlformats.org/package/2006/relationships"><Relationship Id="rId3" Type="http://schemas.microsoft.com/office/2011/relationships/chartColorStyle" Target="colors61.xml"/><Relationship Id="rId2" Type="http://schemas.microsoft.com/office/2011/relationships/chartStyle" Target="style61.xml"/><Relationship Id="rId1" Type="http://schemas.openxmlformats.org/officeDocument/2006/relationships/oleObject" Target="file:///C:\Users\lxx\Desktop\&#28246;&#21335;&#21830;&#23398;&#38498;&#29992;&#20154;&#21333;&#20301;&#25968;&#25454;&#25972;&#29702;.xlsx" TargetMode="External"/></Relationships>
</file>

<file path=word/charts/_rels/chart62.xml.rels><?xml version="1.0" encoding="UTF-8" standalone="yes"?>
<Relationships xmlns="http://schemas.openxmlformats.org/package/2006/relationships"><Relationship Id="rId3" Type="http://schemas.microsoft.com/office/2011/relationships/chartColorStyle" Target="colors62.xml"/><Relationship Id="rId2" Type="http://schemas.microsoft.com/office/2011/relationships/chartStyle" Target="style62.xml"/><Relationship Id="rId1" Type="http://schemas.openxmlformats.org/officeDocument/2006/relationships/oleObject" Target="file:///C:\Users\dfhj\Desktop\&#28246;&#21335;&#21830;&#23398;&#38498;&#29992;&#20154;&#21333;&#20301;&#27169;&#22411;&#25968;&#25454;1110.xlsx" TargetMode="External"/></Relationships>
</file>

<file path=word/charts/_rels/chart63.xml.rels><?xml version="1.0" encoding="UTF-8" standalone="yes"?>
<Relationships xmlns="http://schemas.openxmlformats.org/package/2006/relationships"><Relationship Id="rId3" Type="http://schemas.microsoft.com/office/2011/relationships/chartColorStyle" Target="colors63.xml"/><Relationship Id="rId2" Type="http://schemas.microsoft.com/office/2011/relationships/chartStyle" Target="style63.xml"/><Relationship Id="rId1" Type="http://schemas.openxmlformats.org/officeDocument/2006/relationships/oleObject" Target="file:///C:\Users\dfhj\Desktop\&#28246;&#21335;&#21830;&#23398;&#38498;&#29992;&#20154;&#21333;&#20301;&#27169;&#22411;&#25968;&#25454;1110.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52.xml"/><Relationship Id="rId2" Type="http://schemas.microsoft.com/office/2011/relationships/chartStyle" Target="style52.xml"/><Relationship Id="rId1" Type="http://schemas.openxmlformats.org/officeDocument/2006/relationships/oleObject" Target="file:///C:\Users\dfhj\Desktop\&#21830;&#23398;&#38498;&#22522;&#30784;&#25968;&#25454;\2016&#23626;&#28246;&#21335;&#21830;&#23398;&#38498;&#22522;&#30784;&#25968;&#25454;.xlsx" TargetMode="External"/></Relationships>
</file>

<file path=word/charts/_rels/chart8.xml.rels><?xml version="1.0" encoding="UTF-8" standalone="yes"?>
<Relationships xmlns="http://schemas.openxmlformats.org/package/2006/relationships"><Relationship Id="rId3" Type="http://schemas.microsoft.com/office/2011/relationships/chartColorStyle" Target="colors53.xml"/><Relationship Id="rId2" Type="http://schemas.microsoft.com/office/2011/relationships/chartStyle" Target="style53.xml"/><Relationship Id="rId1" Type="http://schemas.openxmlformats.org/officeDocument/2006/relationships/oleObject" Target="file:///C:\Users\dfhj\Desktop\&#21830;&#23398;&#38498;&#22522;&#30784;&#25968;&#25454;\2016&#23626;&#28246;&#21335;&#21830;&#23398;&#38498;&#22522;&#30784;&#25968;&#25454;.xlsx" TargetMode="External"/></Relationships>
</file>

<file path=word/charts/_rels/chart9.xml.rels><?xml version="1.0" encoding="UTF-8" standalone="yes"?>
<Relationships xmlns="http://schemas.openxmlformats.org/package/2006/relationships"><Relationship Id="rId3" Type="http://schemas.microsoft.com/office/2011/relationships/chartColorStyle" Target="colors54.xml"/><Relationship Id="rId2" Type="http://schemas.microsoft.com/office/2011/relationships/chartStyle" Target="style54.xml"/><Relationship Id="rId1" Type="http://schemas.openxmlformats.org/officeDocument/2006/relationships/oleObject" Target="file:///E:\&#36127;&#36131;&#38498;&#26657;&#36827;&#24230;&#36164;&#26009;&#34920;\&#24050;&#23436;&#25104;&#23398;&#26657;\&#28246;&#21335;&#21830;&#23398;&#38498;&#36164;&#26009;&#65288;1116&#27491;&#22312;&#20462;&#25913;&#65289;\&#21830;&#23398;&#38498;&#22522;&#30784;&#25968;&#25454;\2016&#23626;&#28246;&#21335;&#21830;&#23398;&#38498;&#22522;&#30784;&#25968;&#254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c:explosion val="0"/>
          <c:dPt>
            <c:idx val="0"/>
            <c:bubble3D val="0"/>
            <c:spPr>
              <a:solidFill>
                <a:schemeClr val="accent2"/>
              </a:solidFill>
              <a:ln w="19050">
                <a:solidFill>
                  <a:schemeClr val="lt1"/>
                </a:solidFill>
              </a:ln>
              <a:effectLst/>
            </c:spPr>
          </c:dPt>
          <c:dPt>
            <c:idx val="1"/>
            <c:bubble3D val="0"/>
            <c:spPr>
              <a:solidFill>
                <a:schemeClr val="accent4"/>
              </a:solidFill>
              <a:ln w="19050">
                <a:solidFill>
                  <a:schemeClr val="lt1"/>
                </a:solidFill>
              </a:ln>
              <a:effectLst/>
            </c:spPr>
          </c:dPt>
          <c:dLbls>
            <c:dLbl>
              <c:idx val="0"/>
              <c:layout/>
              <c:tx>
                <c:rich>
                  <a:bodyPr rot="0" spcFirstLastPara="1" vertOverflow="ellipsis" vert="horz" wrap="square" lIns="38100" tIns="19050" rIns="38100" bIns="19050" anchor="ctr" anchorCtr="1"/>
                  <a:lstStyle/>
                  <a:p>
                    <a:fld id="{f67bc7ff-70ec-4797-9a01-b64f876cce9f}" type="CATEGORYNAME">
                      <a:t>[CATEGORY NAME]</a:t>
                    </a:fld>
                    <a:r>
                      <a:t>,</a:t>
                    </a:r>
                    <a:fld id="{a6d080a8-53ed-48fb-94f4-41955e7a1d06}" type="VALUE">
                      <a:t>[VALUE]</a:t>
                    </a:fld>
                  </a:p>
                </c:rich>
              </c:tx>
              <c:showLegendKey val="0"/>
              <c:showVal val="1"/>
              <c:showCatName val="1"/>
              <c:showSerName val="0"/>
              <c:showPercent val="1"/>
              <c:showBubbleSize val="0"/>
              <c:extLst>
                <c:ext xmlns:c15="http://schemas.microsoft.com/office/drawing/2012/chart" uri="{CE6537A1-D6FC-4f65-9D91-7224C49458BB}"/>
              </c:extLst>
            </c:dLbl>
            <c:dLbl>
              <c:idx val="1"/>
              <c:layout>
                <c:manualLayout>
                  <c:x val="0.0446306241008577"/>
                  <c:y val="-0.0316205533596838"/>
                </c:manualLayout>
              </c:layout>
              <c:tx>
                <c:rich>
                  <a:bodyPr rot="0" spcFirstLastPara="1" vertOverflow="ellipsis" vert="horz" wrap="square" lIns="38100" tIns="19050" rIns="38100" bIns="19050" anchor="ctr" anchorCtr="1"/>
                  <a:lstStyle/>
                  <a:p>
                    <a:fld id="{4da55f85-eb69-4d28-8f99-51ccea98211d}" type="CATEGORYNAME">
                      <a:t>[CATEGORY NAME]</a:t>
                    </a:fld>
                    <a:r>
                      <a:t>,</a:t>
                    </a:r>
                    <a:fld id="{d8ae2c0c-2e23-4883-93ce-64f985bb8541}" type="VALUE">
                      <a:t>[VALUE]</a:t>
                    </a:fld>
                  </a:p>
                </c:rich>
              </c:tx>
              <c:showLegendKey val="0"/>
              <c:showVal val="1"/>
              <c:showCatName val="1"/>
              <c:showSerName val="0"/>
              <c:showPercent val="1"/>
              <c:showBubbleSize val="0"/>
              <c:extLst>
                <c:ext xmlns:c15="http://schemas.microsoft.com/office/drawing/2012/chart" uri="{CE6537A1-D6FC-4f65-9D91-7224C49458BB}">
                  <c15:layout>
                    <c:manualLayout>
                      <c:w val="0.310911808669656"/>
                      <c:h val="0.272694663167104"/>
                    </c:manualLayout>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Sheet2!$A$2:$A$3</c:f>
              <c:strCache>
                <c:ptCount val="2"/>
                <c:pt idx="0">
                  <c:v>本科生毕业</c:v>
                </c:pt>
                <c:pt idx="1">
                  <c:v>专科生毕业</c:v>
                </c:pt>
              </c:strCache>
            </c:strRef>
          </c:cat>
          <c:val>
            <c:numRef>
              <c:f>Sheet2!$B$2:$B$3</c:f>
              <c:numCache>
                <c:formatCode>General</c:formatCode>
                <c:ptCount val="2"/>
                <c:pt idx="0">
                  <c:v>3266</c:v>
                </c:pt>
                <c:pt idx="1">
                  <c:v>194</c:v>
                </c:pt>
              </c:numCache>
            </c:numRef>
          </c:val>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Sheet2!$F$490:$F$506</c:f>
              <c:strCache>
                <c:ptCount val="17"/>
                <c:pt idx="0">
                  <c:v>茶陵县</c:v>
                </c:pt>
                <c:pt idx="1">
                  <c:v>耒阳市</c:v>
                </c:pt>
                <c:pt idx="2">
                  <c:v>临湘市</c:v>
                </c:pt>
                <c:pt idx="3">
                  <c:v>湘西土家族苗族自治州</c:v>
                </c:pt>
                <c:pt idx="4">
                  <c:v>张家界市</c:v>
                </c:pt>
                <c:pt idx="5">
                  <c:v>怀化市</c:v>
                </c:pt>
                <c:pt idx="6">
                  <c:v>郴州市</c:v>
                </c:pt>
                <c:pt idx="7">
                  <c:v>永州市</c:v>
                </c:pt>
                <c:pt idx="8">
                  <c:v>湘潭市</c:v>
                </c:pt>
                <c:pt idx="9">
                  <c:v>株洲市</c:v>
                </c:pt>
                <c:pt idx="10">
                  <c:v>益阳市</c:v>
                </c:pt>
                <c:pt idx="11">
                  <c:v>娄底市</c:v>
                </c:pt>
                <c:pt idx="12">
                  <c:v>岳阳市</c:v>
                </c:pt>
                <c:pt idx="13">
                  <c:v>邵阳市</c:v>
                </c:pt>
                <c:pt idx="14">
                  <c:v>衡阳市</c:v>
                </c:pt>
                <c:pt idx="15">
                  <c:v>常德市</c:v>
                </c:pt>
                <c:pt idx="16">
                  <c:v>长沙市</c:v>
                </c:pt>
              </c:strCache>
            </c:strRef>
          </c:cat>
          <c:val>
            <c:numRef>
              <c:f>Sheet2!$H$490:$H$506</c:f>
              <c:numCache>
                <c:formatCode>0.00%</c:formatCode>
                <c:ptCount val="17"/>
                <c:pt idx="0">
                  <c:v>0.000485672656629432</c:v>
                </c:pt>
                <c:pt idx="1">
                  <c:v>0.000485672656629432</c:v>
                </c:pt>
                <c:pt idx="2">
                  <c:v>0.000485672656629432</c:v>
                </c:pt>
                <c:pt idx="3">
                  <c:v>0.00825643516270034</c:v>
                </c:pt>
                <c:pt idx="4">
                  <c:v>0.0101991257892181</c:v>
                </c:pt>
                <c:pt idx="5">
                  <c:v>0.0160271976687712</c:v>
                </c:pt>
                <c:pt idx="6">
                  <c:v>0.0291403593977659</c:v>
                </c:pt>
                <c:pt idx="7">
                  <c:v>0.0422535211267606</c:v>
                </c:pt>
                <c:pt idx="8">
                  <c:v>0.0446818844099077</c:v>
                </c:pt>
                <c:pt idx="9">
                  <c:v>0.0553666828557552</c:v>
                </c:pt>
                <c:pt idx="10">
                  <c:v>0.0616804273919378</c:v>
                </c:pt>
                <c:pt idx="11">
                  <c:v>0.0825643516270034</c:v>
                </c:pt>
                <c:pt idx="12">
                  <c:v>0.0845070422535211</c:v>
                </c:pt>
                <c:pt idx="13">
                  <c:v>0.0903351141330743</c:v>
                </c:pt>
                <c:pt idx="14">
                  <c:v>0.0985915492957746</c:v>
                </c:pt>
                <c:pt idx="15">
                  <c:v>0.103448275862069</c:v>
                </c:pt>
                <c:pt idx="16">
                  <c:v>0.271491015055852</c:v>
                </c:pt>
              </c:numCache>
            </c:numRef>
          </c:val>
        </c:ser>
        <c:dLbls>
          <c:showLegendKey val="0"/>
          <c:showVal val="0"/>
          <c:showCatName val="0"/>
          <c:showSerName val="0"/>
          <c:showPercent val="0"/>
          <c:showBubbleSize val="0"/>
        </c:dLbls>
        <c:gapWidth val="182"/>
        <c:axId val="319588040"/>
        <c:axId val="319588432"/>
      </c:barChart>
      <c:catAx>
        <c:axId val="319588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9588432"/>
        <c:crosses val="autoZero"/>
        <c:auto val="1"/>
        <c:lblAlgn val="ctr"/>
        <c:lblOffset val="100"/>
        <c:noMultiLvlLbl val="0"/>
      </c:catAx>
      <c:valAx>
        <c:axId val="31958843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9588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Sheet2!$A$394:$A$413</c:f>
              <c:strCache>
                <c:ptCount val="20"/>
                <c:pt idx="0">
                  <c:v>军队</c:v>
                </c:pt>
                <c:pt idx="1">
                  <c:v>采矿业</c:v>
                </c:pt>
                <c:pt idx="2">
                  <c:v>农、林、牧、渔业</c:v>
                </c:pt>
                <c:pt idx="3">
                  <c:v>水利、环境和公共设施管理业</c:v>
                </c:pt>
                <c:pt idx="4">
                  <c:v>电力、热力、燃气及水生产和供应业</c:v>
                </c:pt>
                <c:pt idx="5">
                  <c:v>房地产业</c:v>
                </c:pt>
                <c:pt idx="6">
                  <c:v>卫生和社会工作</c:v>
                </c:pt>
                <c:pt idx="7">
                  <c:v>住宿和餐饮业</c:v>
                </c:pt>
                <c:pt idx="8">
                  <c:v>科学研究和技术服务业</c:v>
                </c:pt>
                <c:pt idx="9">
                  <c:v>建筑业</c:v>
                </c:pt>
                <c:pt idx="10">
                  <c:v>教育</c:v>
                </c:pt>
                <c:pt idx="11">
                  <c:v>居民服务、修理和其他服务业</c:v>
                </c:pt>
                <c:pt idx="12">
                  <c:v>租赁和商务服务业</c:v>
                </c:pt>
                <c:pt idx="13">
                  <c:v>公共管理、社会保障和社会组织</c:v>
                </c:pt>
                <c:pt idx="14">
                  <c:v>交通运输、仓储和邮政业</c:v>
                </c:pt>
                <c:pt idx="15">
                  <c:v>批发和零售业</c:v>
                </c:pt>
                <c:pt idx="16">
                  <c:v>文化、体育和娱乐业</c:v>
                </c:pt>
                <c:pt idx="17">
                  <c:v>制造业</c:v>
                </c:pt>
                <c:pt idx="18">
                  <c:v>金融业</c:v>
                </c:pt>
                <c:pt idx="19">
                  <c:v>信息传输、软件和信息技术服务业</c:v>
                </c:pt>
              </c:strCache>
            </c:strRef>
          </c:cat>
          <c:val>
            <c:numRef>
              <c:f>Sheet2!$C$394:$C$413</c:f>
              <c:numCache>
                <c:formatCode>0.00%</c:formatCode>
                <c:ptCount val="20"/>
                <c:pt idx="0">
                  <c:v>0.00069759330310429</c:v>
                </c:pt>
                <c:pt idx="1">
                  <c:v>0.00488315312173003</c:v>
                </c:pt>
                <c:pt idx="2">
                  <c:v>0.00592954307638647</c:v>
                </c:pt>
                <c:pt idx="3">
                  <c:v>0.0104638995465644</c:v>
                </c:pt>
                <c:pt idx="4">
                  <c:v>0.0160446459713987</c:v>
                </c:pt>
                <c:pt idx="5">
                  <c:v>0.0198814091384723</c:v>
                </c:pt>
                <c:pt idx="6">
                  <c:v>0.0202302057900244</c:v>
                </c:pt>
                <c:pt idx="7">
                  <c:v>0.0251133589117544</c:v>
                </c:pt>
                <c:pt idx="8">
                  <c:v>0.0275549354726195</c:v>
                </c:pt>
                <c:pt idx="9">
                  <c:v>0.0380188350191838</c:v>
                </c:pt>
                <c:pt idx="10">
                  <c:v>0.0397628182769445</c:v>
                </c:pt>
                <c:pt idx="11">
                  <c:v>0.0415068015347053</c:v>
                </c:pt>
                <c:pt idx="12">
                  <c:v>0.0491803278688525</c:v>
                </c:pt>
                <c:pt idx="13">
                  <c:v>0.050575514475061</c:v>
                </c:pt>
                <c:pt idx="14">
                  <c:v>0.050575514475061</c:v>
                </c:pt>
                <c:pt idx="15">
                  <c:v>0.0753400767352633</c:v>
                </c:pt>
                <c:pt idx="16">
                  <c:v>0.0791768399023369</c:v>
                </c:pt>
                <c:pt idx="17">
                  <c:v>0.0851063829787234</c:v>
                </c:pt>
                <c:pt idx="18">
                  <c:v>0.167771189396582</c:v>
                </c:pt>
                <c:pt idx="19">
                  <c:v>0.192186955005232</c:v>
                </c:pt>
              </c:numCache>
            </c:numRef>
          </c:val>
        </c:ser>
        <c:dLbls>
          <c:showLegendKey val="0"/>
          <c:showVal val="0"/>
          <c:showCatName val="0"/>
          <c:showSerName val="0"/>
          <c:showPercent val="0"/>
          <c:showBubbleSize val="0"/>
        </c:dLbls>
        <c:gapWidth val="182"/>
        <c:axId val="319589216"/>
        <c:axId val="319589608"/>
      </c:barChart>
      <c:catAx>
        <c:axId val="319589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9589608"/>
        <c:crosses val="autoZero"/>
        <c:auto val="1"/>
        <c:lblAlgn val="ctr"/>
        <c:lblOffset val="100"/>
        <c:noMultiLvlLbl val="0"/>
      </c:catAx>
      <c:valAx>
        <c:axId val="31958960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9589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Sheet2!$B$418</c:f>
              <c:strCache>
                <c:ptCount val="1"/>
                <c:pt idx="0">
                  <c:v>人数</c:v>
                </c:pt>
              </c:strCache>
            </c:strRef>
          </c:tx>
          <c:spPr>
            <a:solidFill>
              <a:schemeClr val="accent2"/>
            </a:solidFill>
            <a:ln>
              <a:noFill/>
            </a:ln>
            <a:effectLst/>
          </c:spPr>
          <c:invertIfNegative val="0"/>
          <c:dLbls>
            <c:delete val="1"/>
          </c:dLbls>
          <c:cat>
            <c:strRef>
              <c:f>Sheet2!$A$419:$A$435</c:f>
              <c:strCache>
                <c:ptCount val="17"/>
                <c:pt idx="0">
                  <c:v>办事人员和有关人员</c:v>
                </c:pt>
                <c:pt idx="1">
                  <c:v>法律专业人员</c:v>
                </c:pt>
                <c:pt idx="2">
                  <c:v>工程技术人员</c:v>
                </c:pt>
                <c:pt idx="3">
                  <c:v>公务员</c:v>
                </c:pt>
                <c:pt idx="4">
                  <c:v>教学人员</c:v>
                </c:pt>
                <c:pt idx="5">
                  <c:v>金融业务人员</c:v>
                </c:pt>
                <c:pt idx="6">
                  <c:v>经济业务人员</c:v>
                </c:pt>
                <c:pt idx="7">
                  <c:v>军人</c:v>
                </c:pt>
                <c:pt idx="8">
                  <c:v>科学研究人员</c:v>
                </c:pt>
                <c:pt idx="9">
                  <c:v>其他人员</c:v>
                </c:pt>
                <c:pt idx="10">
                  <c:v>其他专业技术人员</c:v>
                </c:pt>
                <c:pt idx="11">
                  <c:v>商业和服务业人员</c:v>
                </c:pt>
                <c:pt idx="12">
                  <c:v>生产和运输设备操作人员</c:v>
                </c:pt>
                <c:pt idx="13">
                  <c:v>体育工作人员</c:v>
                </c:pt>
                <c:pt idx="14">
                  <c:v>卫生专业技术人员</c:v>
                </c:pt>
                <c:pt idx="15">
                  <c:v>文学艺术工作人员</c:v>
                </c:pt>
                <c:pt idx="16">
                  <c:v>新闻出版和文化工作人员</c:v>
                </c:pt>
              </c:strCache>
            </c:strRef>
          </c:cat>
          <c:val>
            <c:numRef>
              <c:f>Sheet2!$B$419:$B$435</c:f>
              <c:numCache>
                <c:formatCode>General</c:formatCode>
                <c:ptCount val="17"/>
                <c:pt idx="0">
                  <c:v>125</c:v>
                </c:pt>
                <c:pt idx="1">
                  <c:v>28</c:v>
                </c:pt>
                <c:pt idx="2">
                  <c:v>14</c:v>
                </c:pt>
                <c:pt idx="3">
                  <c:v>18</c:v>
                </c:pt>
                <c:pt idx="4">
                  <c:v>38</c:v>
                </c:pt>
                <c:pt idx="5">
                  <c:v>161</c:v>
                </c:pt>
                <c:pt idx="6">
                  <c:v>111</c:v>
                </c:pt>
                <c:pt idx="7">
                  <c:v>2</c:v>
                </c:pt>
                <c:pt idx="8">
                  <c:v>2</c:v>
                </c:pt>
                <c:pt idx="9">
                  <c:v>1474</c:v>
                </c:pt>
                <c:pt idx="10">
                  <c:v>822</c:v>
                </c:pt>
                <c:pt idx="11">
                  <c:v>62</c:v>
                </c:pt>
                <c:pt idx="12">
                  <c:v>1</c:v>
                </c:pt>
                <c:pt idx="13">
                  <c:v>1</c:v>
                </c:pt>
                <c:pt idx="14">
                  <c:v>1</c:v>
                </c:pt>
                <c:pt idx="15">
                  <c:v>3</c:v>
                </c:pt>
                <c:pt idx="16">
                  <c:v>4</c:v>
                </c:pt>
              </c:numCache>
            </c:numRef>
          </c:val>
        </c:ser>
        <c:dLbls>
          <c:showLegendKey val="0"/>
          <c:showVal val="0"/>
          <c:showCatName val="0"/>
          <c:showSerName val="0"/>
          <c:showPercent val="0"/>
          <c:showBubbleSize val="0"/>
        </c:dLbls>
        <c:gapWidth val="150"/>
        <c:axId val="907658704"/>
        <c:axId val="907658312"/>
      </c:barChart>
      <c:lineChart>
        <c:grouping val="standard"/>
        <c:varyColors val="0"/>
        <c:ser>
          <c:idx val="1"/>
          <c:order val="1"/>
          <c:tx>
            <c:strRef>
              <c:f>Sheet2!$C$418</c:f>
              <c:strCache>
                <c:ptCount val="1"/>
                <c:pt idx="0">
                  <c:v>比例</c:v>
                </c:pt>
              </c:strCache>
            </c:strRef>
          </c:tx>
          <c:spPr>
            <a:ln w="28575" cap="rnd">
              <a:solidFill>
                <a:schemeClr val="accent4"/>
              </a:solidFill>
              <a:round/>
            </a:ln>
            <a:effectLst/>
          </c:spPr>
          <c:marker>
            <c:symbol val="none"/>
          </c:marker>
          <c:dLbls>
            <c:dLbl>
              <c:idx val="0"/>
              <c:layout>
                <c:manualLayout>
                  <c:x val="-0.0458583997332269"/>
                  <c:y val="-0.041566736137581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481513197198883"/>
                  <c:y val="-0.022382088689467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412725597599042"/>
                  <c:y val="-0.019184647448114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2737159693211"/>
                  <c:y val="0.009592323724057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481513197198882"/>
                  <c:y val="-0.009592323724057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412725597599042"/>
                  <c:y val="-0.022382088689467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343937997999202"/>
                  <c:y val="-0.019184647448114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45858399733227"/>
                  <c:y val="-0.009592323724057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389796397732428"/>
                  <c:y val="-0.009592323724057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0550300796798723"/>
                  <c:y val="-0.019184647448114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0.0412725597599043"/>
                  <c:y val="-0.022382088689467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0.0366867197865816"/>
                  <c:y val="-0.009592323724057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0.0252221198532748"/>
                  <c:y val="-0.019184647448114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5"/>
              <c:layout>
                <c:manualLayout>
                  <c:x val="-0.0275150398399361"/>
                  <c:y val="-0.0351718536548768"/>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extLst>
                <c:ext xmlns:c15="http://schemas.microsoft.com/office/drawing/2012/chart" uri="{CE6537A1-D6FC-4f65-9D91-7224C49458BB}">
                  <c15:layout>
                    <c:manualLayout>
                      <c:w val="0.0719633840538067"/>
                      <c:h val="0.0479137828851796"/>
                    </c:manualLayout>
                  </c15:layout>
                </c:ext>
              </c:extLst>
            </c:dLbl>
            <c:dLbl>
              <c:idx val="16"/>
              <c:layout>
                <c:manualLayout>
                  <c:x val="-0.0343937997999202"/>
                  <c:y val="-1.17238157837719e-1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Sheet2!$A$419:$A$435</c:f>
              <c:strCache>
                <c:ptCount val="17"/>
                <c:pt idx="0">
                  <c:v>办事人员和有关人员</c:v>
                </c:pt>
                <c:pt idx="1">
                  <c:v>法律专业人员</c:v>
                </c:pt>
                <c:pt idx="2">
                  <c:v>工程技术人员</c:v>
                </c:pt>
                <c:pt idx="3">
                  <c:v>公务员</c:v>
                </c:pt>
                <c:pt idx="4">
                  <c:v>教学人员</c:v>
                </c:pt>
                <c:pt idx="5">
                  <c:v>金融业务人员</c:v>
                </c:pt>
                <c:pt idx="6">
                  <c:v>经济业务人员</c:v>
                </c:pt>
                <c:pt idx="7">
                  <c:v>军人</c:v>
                </c:pt>
                <c:pt idx="8">
                  <c:v>科学研究人员</c:v>
                </c:pt>
                <c:pt idx="9">
                  <c:v>其他人员</c:v>
                </c:pt>
                <c:pt idx="10">
                  <c:v>其他专业技术人员</c:v>
                </c:pt>
                <c:pt idx="11">
                  <c:v>商业和服务业人员</c:v>
                </c:pt>
                <c:pt idx="12">
                  <c:v>生产和运输设备操作人员</c:v>
                </c:pt>
                <c:pt idx="13">
                  <c:v>体育工作人员</c:v>
                </c:pt>
                <c:pt idx="14">
                  <c:v>卫生专业技术人员</c:v>
                </c:pt>
                <c:pt idx="15">
                  <c:v>文学艺术工作人员</c:v>
                </c:pt>
                <c:pt idx="16">
                  <c:v>新闻出版和文化工作人员</c:v>
                </c:pt>
              </c:strCache>
            </c:strRef>
          </c:cat>
          <c:val>
            <c:numRef>
              <c:f>Sheet2!$C$419:$C$435</c:f>
              <c:numCache>
                <c:formatCode>0.00%</c:formatCode>
                <c:ptCount val="17"/>
                <c:pt idx="0">
                  <c:v>0.0435995814440181</c:v>
                </c:pt>
                <c:pt idx="1">
                  <c:v>0.00976630624346006</c:v>
                </c:pt>
                <c:pt idx="2">
                  <c:v>0.00488315312173003</c:v>
                </c:pt>
                <c:pt idx="3">
                  <c:v>0.00627833972793861</c:v>
                </c:pt>
                <c:pt idx="4">
                  <c:v>0.0132542727589815</c:v>
                </c:pt>
                <c:pt idx="5">
                  <c:v>0.0561562608998954</c:v>
                </c:pt>
                <c:pt idx="6">
                  <c:v>0.0387164283222881</c:v>
                </c:pt>
                <c:pt idx="7">
                  <c:v>0.00069759330310429</c:v>
                </c:pt>
                <c:pt idx="8">
                  <c:v>0.00069759330310429</c:v>
                </c:pt>
                <c:pt idx="9">
                  <c:v>0.514126264387862</c:v>
                </c:pt>
                <c:pt idx="10">
                  <c:v>0.286710847575863</c:v>
                </c:pt>
                <c:pt idx="11">
                  <c:v>0.021625392396233</c:v>
                </c:pt>
                <c:pt idx="12">
                  <c:v>0.000348796651552145</c:v>
                </c:pt>
                <c:pt idx="13">
                  <c:v>0.000348796651552145</c:v>
                </c:pt>
                <c:pt idx="14">
                  <c:v>0.000348796651552145</c:v>
                </c:pt>
                <c:pt idx="15">
                  <c:v>0.00104638995465644</c:v>
                </c:pt>
                <c:pt idx="16">
                  <c:v>0.00139518660620858</c:v>
                </c:pt>
              </c:numCache>
            </c:numRef>
          </c:val>
          <c:smooth val="0"/>
        </c:ser>
        <c:dLbls>
          <c:showLegendKey val="0"/>
          <c:showVal val="0"/>
          <c:showCatName val="0"/>
          <c:showSerName val="0"/>
          <c:showPercent val="0"/>
          <c:showBubbleSize val="0"/>
        </c:dLbls>
        <c:marker val="0"/>
        <c:smooth val="0"/>
        <c:axId val="907657920"/>
        <c:axId val="907655568"/>
      </c:lineChart>
      <c:catAx>
        <c:axId val="907658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07658312"/>
        <c:crosses val="autoZero"/>
        <c:auto val="1"/>
        <c:lblAlgn val="ctr"/>
        <c:lblOffset val="100"/>
        <c:noMultiLvlLbl val="0"/>
      </c:catAx>
      <c:valAx>
        <c:axId val="907658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07658704"/>
        <c:crosses val="autoZero"/>
        <c:crossBetween val="between"/>
      </c:valAx>
      <c:catAx>
        <c:axId val="907657920"/>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07655568"/>
        <c:crosses val="autoZero"/>
        <c:auto val="1"/>
        <c:lblAlgn val="ctr"/>
        <c:lblOffset val="100"/>
        <c:noMultiLvlLbl val="0"/>
      </c:catAx>
      <c:valAx>
        <c:axId val="907655568"/>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07657920"/>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升学!$B$1</c:f>
              <c:strCache>
                <c:ptCount val="1"/>
                <c:pt idx="0">
                  <c:v>选择人数</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升学!$A$2:$A$11</c:f>
              <c:strCache>
                <c:ptCount val="10"/>
                <c:pt idx="0">
                  <c:v>湖南商学院</c:v>
                </c:pt>
                <c:pt idx="1">
                  <c:v>湖南大学</c:v>
                </c:pt>
                <c:pt idx="2">
                  <c:v>湖南师范大学</c:v>
                </c:pt>
                <c:pt idx="3">
                  <c:v>中南大学</c:v>
                </c:pt>
                <c:pt idx="4">
                  <c:v>湘潭大学</c:v>
                </c:pt>
                <c:pt idx="5">
                  <c:v>长沙理工大学</c:v>
                </c:pt>
                <c:pt idx="6">
                  <c:v>广东外语外贸大学</c:v>
                </c:pt>
                <c:pt idx="7">
                  <c:v>上海对外经贸大学</c:v>
                </c:pt>
                <c:pt idx="8">
                  <c:v>广东财经大学</c:v>
                </c:pt>
                <c:pt idx="9">
                  <c:v>南华大学</c:v>
                </c:pt>
              </c:strCache>
            </c:strRef>
          </c:cat>
          <c:val>
            <c:numRef>
              <c:f>升学!$B$2:$B$11</c:f>
              <c:numCache>
                <c:formatCode>General</c:formatCode>
                <c:ptCount val="10"/>
                <c:pt idx="0">
                  <c:v>19</c:v>
                </c:pt>
                <c:pt idx="1">
                  <c:v>16</c:v>
                </c:pt>
                <c:pt idx="2">
                  <c:v>13</c:v>
                </c:pt>
                <c:pt idx="3">
                  <c:v>12</c:v>
                </c:pt>
                <c:pt idx="4">
                  <c:v>10</c:v>
                </c:pt>
                <c:pt idx="5">
                  <c:v>10</c:v>
                </c:pt>
                <c:pt idx="6">
                  <c:v>9</c:v>
                </c:pt>
                <c:pt idx="7">
                  <c:v>7</c:v>
                </c:pt>
                <c:pt idx="8">
                  <c:v>6</c:v>
                </c:pt>
                <c:pt idx="9">
                  <c:v>5</c:v>
                </c:pt>
              </c:numCache>
            </c:numRef>
          </c:val>
        </c:ser>
        <c:dLbls>
          <c:showLegendKey val="0"/>
          <c:showVal val="0"/>
          <c:showCatName val="0"/>
          <c:showSerName val="0"/>
          <c:showPercent val="0"/>
          <c:showBubbleSize val="0"/>
        </c:dLbls>
        <c:gapWidth val="150"/>
        <c:axId val="899603384"/>
        <c:axId val="899602992"/>
      </c:barChart>
      <c:catAx>
        <c:axId val="8996033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9602992"/>
        <c:crosses val="autoZero"/>
        <c:auto val="1"/>
        <c:lblAlgn val="ctr"/>
        <c:lblOffset val="100"/>
        <c:noMultiLvlLbl val="0"/>
      </c:catAx>
      <c:valAx>
        <c:axId val="899602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9603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升学!$H$41:$H$50</c:f>
              <c:strCache>
                <c:ptCount val="10"/>
                <c:pt idx="0">
                  <c:v>会计学</c:v>
                </c:pt>
                <c:pt idx="1">
                  <c:v>金融学</c:v>
                </c:pt>
                <c:pt idx="2">
                  <c:v>财务管理</c:v>
                </c:pt>
                <c:pt idx="3">
                  <c:v>英语</c:v>
                </c:pt>
                <c:pt idx="4">
                  <c:v>艺术设计</c:v>
                </c:pt>
                <c:pt idx="5">
                  <c:v>国际经济与贸易</c:v>
                </c:pt>
                <c:pt idx="6">
                  <c:v>商务英语</c:v>
                </c:pt>
                <c:pt idx="7">
                  <c:v>电子信息工程</c:v>
                </c:pt>
                <c:pt idx="8">
                  <c:v>行政管理</c:v>
                </c:pt>
                <c:pt idx="9">
                  <c:v>人力资源管理</c:v>
                </c:pt>
              </c:strCache>
            </c:strRef>
          </c:cat>
          <c:val>
            <c:numRef>
              <c:f>升学!$J$41:$J$50</c:f>
              <c:numCache>
                <c:formatCode>0.00%</c:formatCode>
                <c:ptCount val="10"/>
                <c:pt idx="0">
                  <c:v>0.198830409356725</c:v>
                </c:pt>
                <c:pt idx="1">
                  <c:v>0.146198830409357</c:v>
                </c:pt>
                <c:pt idx="2">
                  <c:v>0.087719298245614</c:v>
                </c:pt>
                <c:pt idx="3">
                  <c:v>0.0818713450292398</c:v>
                </c:pt>
                <c:pt idx="4">
                  <c:v>0.0526315789473684</c:v>
                </c:pt>
                <c:pt idx="5">
                  <c:v>0.0409356725146199</c:v>
                </c:pt>
                <c:pt idx="6">
                  <c:v>0.0409356725146199</c:v>
                </c:pt>
                <c:pt idx="7">
                  <c:v>0.0350877192982456</c:v>
                </c:pt>
                <c:pt idx="8">
                  <c:v>0.0292397660818713</c:v>
                </c:pt>
                <c:pt idx="9">
                  <c:v>0.0292397660818713</c:v>
                </c:pt>
              </c:numCache>
            </c:numRef>
          </c:val>
        </c:ser>
        <c:dLbls>
          <c:showLegendKey val="0"/>
          <c:showVal val="0"/>
          <c:showCatName val="0"/>
          <c:showSerName val="0"/>
          <c:showPercent val="0"/>
          <c:showBubbleSize val="0"/>
        </c:dLbls>
        <c:gapWidth val="150"/>
        <c:axId val="310412352"/>
        <c:axId val="310411568"/>
      </c:barChart>
      <c:catAx>
        <c:axId val="310412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0411568"/>
        <c:crosses val="autoZero"/>
        <c:auto val="1"/>
        <c:lblAlgn val="ctr"/>
        <c:lblOffset val="100"/>
        <c:noMultiLvlLbl val="0"/>
      </c:catAx>
      <c:valAx>
        <c:axId val="3104115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0412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出国!$B$65</c:f>
              <c:strCache>
                <c:ptCount val="1"/>
                <c:pt idx="0">
                  <c:v>人数</c:v>
                </c:pt>
              </c:strCache>
            </c:strRef>
          </c:tx>
          <c:spPr>
            <a:solidFill>
              <a:schemeClr val="accent2"/>
            </a:solidFill>
            <a:ln>
              <a:noFill/>
            </a:ln>
            <a:effectLst/>
          </c:spPr>
          <c:invertIfNegative val="0"/>
          <c:dLbls>
            <c:dLbl>
              <c:idx val="0"/>
              <c:layout/>
              <c:tx>
                <c:rich>
                  <a:bodyPr rot="0" spcFirstLastPara="1" vertOverflow="ellipsis" vert="horz" wrap="square" lIns="38100" tIns="19050" rIns="38100" bIns="19050" anchor="ctr" anchorCtr="1"/>
                  <a:lstStyle/>
                  <a:p>
                    <a:fld id="{5d634462-758b-4bb0-a015-b8ac42f9fbbf}" type="CELLRANGE">
                      <a:t>[CELLRANGE]</a:t>
                    </a:fld>
                    <a:r>
                      <a:t>,</a:t>
                    </a:r>
                    <a:fld id="{91d6d7df-f78c-42f8-8dc7-b6bbb68d50e2}"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704df633-39a0-4773-a46e-0fa445b753ba}" type="CELLRANGE">
                      <a:t>[CELLRANGE]</a:t>
                    </a:fld>
                    <a:r>
                      <a:t>,</a:t>
                    </a:r>
                    <a:fld id="{fe2da71a-d1a7-449d-a1d3-b2f6b9a784ba}"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3799d26c-8b8f-4b7c-b177-37b49caa14b4}" type="CELLRANGE">
                      <a:t>[CELLRANGE]</a:t>
                    </a:fld>
                    <a:r>
                      <a:t>,</a:t>
                    </a:r>
                    <a:fld id="{80acda85-d1a6-4863-8d3e-5e0372c351e0}"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0c137ef3-ffdd-4937-940f-367d80733386}" type="CELLRANGE">
                      <a:t>[CELLRANGE]</a:t>
                    </a:fld>
                    <a:r>
                      <a:t>,</a:t>
                    </a:r>
                    <a:fld id="{4d569ff0-435a-46ac-8cde-cf945da149f2}"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634c107e-db87-4dd3-b651-b19a0fdfadb5}" type="CELLRANGE">
                      <a:t>[CELLRANGE]</a:t>
                    </a:fld>
                    <a:r>
                      <a:t>,</a:t>
                    </a:r>
                    <a:fld id="{d4415ce5-28b7-4057-9b51-8a4fc0b0cbab}"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ce4d6fb3-f266-42bc-b04d-d859ff1b3c62}" type="CELLRANGE">
                      <a:t>[CELLRANGE]</a:t>
                    </a:fld>
                    <a:r>
                      <a:t>,</a:t>
                    </a:r>
                    <a:fld id="{ef29e2a4-7d19-4779-8cfc-6eac1a26d400}"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6c796662-f27d-4eeb-b796-43e6cbc70cca}" type="CELLRANGE">
                      <a:t>[CELLRANGE]</a:t>
                    </a:fld>
                    <a:r>
                      <a:t>,</a:t>
                    </a:r>
                    <a:fld id="{a947ae2b-1782-46ed-a7ca-999f56224a6b}"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rot="0" spcFirstLastPara="1" vertOverflow="ellipsis" vert="horz" wrap="square" lIns="38100" tIns="19050" rIns="38100" bIns="19050" anchor="ctr" anchorCtr="1"/>
                  <a:lstStyle/>
                  <a:p>
                    <a:fld id="{9218202c-2d0d-41e4-9a49-83217633b838}" type="CELLRANGE">
                      <a:t>[CELLRANGE]</a:t>
                    </a:fld>
                    <a:r>
                      <a:t>,</a:t>
                    </a:r>
                    <a:fld id="{04540896-5dda-4434-8818-117d2fa39d77}"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8"/>
              <c:layout/>
              <c:tx>
                <c:rich>
                  <a:bodyPr rot="0" spcFirstLastPara="1" vertOverflow="ellipsis" vert="horz" wrap="square" lIns="38100" tIns="19050" rIns="38100" bIns="19050" anchor="ctr" anchorCtr="1"/>
                  <a:lstStyle/>
                  <a:p>
                    <a:fld id="{88405cfd-28d8-463d-a7f4-90322668a5c3}" type="CELLRANGE">
                      <a:t>[CELLRANGE]</a:t>
                    </a:fld>
                    <a:r>
                      <a:t>,</a:t>
                    </a:r>
                    <a:fld id="{f2720b67-33fe-48dc-8380-8d52f1cde689}"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9"/>
              <c:layout/>
              <c:tx>
                <c:rich>
                  <a:bodyPr rot="0" spcFirstLastPara="1" vertOverflow="ellipsis" vert="horz" wrap="square" lIns="38100" tIns="19050" rIns="38100" bIns="19050" anchor="ctr" anchorCtr="1"/>
                  <a:lstStyle/>
                  <a:p>
                    <a:fld id="{10e17a19-5242-49de-a697-f3742e931ed2}" type="CELLRANGE">
                      <a:t>[CELLRANGE]</a:t>
                    </a:fld>
                    <a:r>
                      <a:t>,</a:t>
                    </a:r>
                    <a:fld id="{e0cbccd8-786b-449d-a87c-db2e237343f0}"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0"/>
              <c:layout/>
              <c:tx>
                <c:rich>
                  <a:bodyPr rot="0" spcFirstLastPara="1" vertOverflow="ellipsis" vert="horz" wrap="square" lIns="38100" tIns="19050" rIns="38100" bIns="19050" anchor="ctr" anchorCtr="1"/>
                  <a:lstStyle/>
                  <a:p>
                    <a:fld id="{04fac55b-bf67-488d-8808-61e44ef788f1}" type="CELLRANGE">
                      <a:t>[CELLRANGE]</a:t>
                    </a:fld>
                    <a:r>
                      <a:t>,</a:t>
                    </a:r>
                    <a:fld id="{576d3ab8-06ae-43f3-8142-9ea28e84c0bc}"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1"/>
              <c:layout>
                <c:manualLayout>
                  <c:x val="-1.90412148506729e-16"/>
                  <c:y val="-0.0290757952671539"/>
                </c:manualLayout>
              </c:layout>
              <c:tx>
                <c:rich>
                  <a:bodyPr rot="0" spcFirstLastPara="1" vertOverflow="ellipsis" vert="horz" wrap="square" lIns="38100" tIns="19050" rIns="38100" bIns="19050" anchor="ctr" anchorCtr="1"/>
                  <a:lstStyle/>
                  <a:p>
                    <a:fld id="{835069fd-39c2-41ed-95e8-5bf9f9125984}" type="CELLRANGE">
                      <a:t>[CELLRANGE]</a:t>
                    </a:fld>
                    <a:r>
                      <a:t>,</a:t>
                    </a:r>
                    <a:fld id="{de2cc0b2-5506-4068-8a9b-c716016f93e8}" type="VALUE">
                      <a:t>[VALUE]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出国!$A$66:$A$77</c:f>
              <c:strCache>
                <c:ptCount val="12"/>
                <c:pt idx="0">
                  <c:v>澳门</c:v>
                </c:pt>
                <c:pt idx="1">
                  <c:v>尼日利亚</c:v>
                </c:pt>
                <c:pt idx="2">
                  <c:v>新西兰</c:v>
                </c:pt>
                <c:pt idx="3">
                  <c:v>法国</c:v>
                </c:pt>
                <c:pt idx="4">
                  <c:v>韩国</c:v>
                </c:pt>
                <c:pt idx="5">
                  <c:v>日本</c:v>
                </c:pt>
                <c:pt idx="6">
                  <c:v>瑞士</c:v>
                </c:pt>
                <c:pt idx="7">
                  <c:v>加拿大</c:v>
                </c:pt>
                <c:pt idx="8">
                  <c:v>美国</c:v>
                </c:pt>
                <c:pt idx="9">
                  <c:v>香港</c:v>
                </c:pt>
                <c:pt idx="10">
                  <c:v>澳大利亚</c:v>
                </c:pt>
                <c:pt idx="11">
                  <c:v>英国</c:v>
                </c:pt>
              </c:strCache>
            </c:strRef>
          </c:cat>
          <c:val>
            <c:numRef>
              <c:f>出国!$B$66:$B$77</c:f>
              <c:numCache>
                <c:formatCode>General</c:formatCode>
                <c:ptCount val="12"/>
                <c:pt idx="0">
                  <c:v>1</c:v>
                </c:pt>
                <c:pt idx="1">
                  <c:v>1</c:v>
                </c:pt>
                <c:pt idx="2">
                  <c:v>1</c:v>
                </c:pt>
                <c:pt idx="3">
                  <c:v>2</c:v>
                </c:pt>
                <c:pt idx="4">
                  <c:v>2</c:v>
                </c:pt>
                <c:pt idx="5">
                  <c:v>2</c:v>
                </c:pt>
                <c:pt idx="6">
                  <c:v>2</c:v>
                </c:pt>
                <c:pt idx="7">
                  <c:v>3</c:v>
                </c:pt>
                <c:pt idx="8">
                  <c:v>7</c:v>
                </c:pt>
                <c:pt idx="9">
                  <c:v>9</c:v>
                </c:pt>
                <c:pt idx="10">
                  <c:v>16</c:v>
                </c:pt>
                <c:pt idx="11">
                  <c:v>19</c:v>
                </c:pt>
              </c:numCache>
            </c:numRef>
          </c:val>
          <c:extLst>
            <c:ext xmlns:c15="http://schemas.microsoft.com/office/drawing/2012/chart" uri="{02D57815-91ED-43cb-92C2-25804820EDAC}">
              <c15:datalabelsRange>
                <c15:f>出国!$C$66:$C$77</c15:f>
                <c15:dlblRangeCache>
                  <c:ptCount val="12"/>
                  <c:pt idx="0">
                    <c:v>1.54%</c:v>
                  </c:pt>
                  <c:pt idx="1">
                    <c:v>1.54%</c:v>
                  </c:pt>
                  <c:pt idx="2">
                    <c:v>1.54%</c:v>
                  </c:pt>
                  <c:pt idx="3">
                    <c:v>3.08%</c:v>
                  </c:pt>
                  <c:pt idx="4">
                    <c:v>3.08%</c:v>
                  </c:pt>
                  <c:pt idx="5">
                    <c:v>3.08%</c:v>
                  </c:pt>
                  <c:pt idx="6">
                    <c:v>3.08%</c:v>
                  </c:pt>
                  <c:pt idx="7">
                    <c:v>4.62%</c:v>
                  </c:pt>
                  <c:pt idx="8">
                    <c:v>10.77%</c:v>
                  </c:pt>
                  <c:pt idx="9">
                    <c:v>13.85%</c:v>
                  </c:pt>
                  <c:pt idx="10">
                    <c:v>24.62%</c:v>
                  </c:pt>
                  <c:pt idx="11">
                    <c:v>29.23%</c:v>
                  </c:pt>
                </c15:dlblRangeCache>
              </c15:datalabelsRange>
            </c:ext>
          </c:extLst>
        </c:ser>
        <c:dLbls>
          <c:showLegendKey val="0"/>
          <c:showVal val="0"/>
          <c:showCatName val="0"/>
          <c:showSerName val="0"/>
          <c:showPercent val="0"/>
          <c:showBubbleSize val="0"/>
        </c:dLbls>
        <c:gapWidth val="182"/>
        <c:axId val="607356648"/>
        <c:axId val="607357432"/>
      </c:barChart>
      <c:catAx>
        <c:axId val="607356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7357432"/>
        <c:crosses val="autoZero"/>
        <c:auto val="1"/>
        <c:lblAlgn val="ctr"/>
        <c:lblOffset val="100"/>
        <c:noMultiLvlLbl val="0"/>
      </c:catAx>
      <c:valAx>
        <c:axId val="6073574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7356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c:explosion val="0"/>
          <c:dPt>
            <c:idx val="0"/>
            <c:bubble3D val="0"/>
            <c:spPr>
              <a:solidFill>
                <a:schemeClr val="accent2"/>
              </a:solidFill>
              <a:ln w="19050">
                <a:solidFill>
                  <a:schemeClr val="lt1"/>
                </a:solidFill>
              </a:ln>
              <a:effectLst/>
            </c:spPr>
          </c:dPt>
          <c:dPt>
            <c:idx val="1"/>
            <c:bubble3D val="0"/>
            <c:spPr>
              <a:solidFill>
                <a:schemeClr val="accent4"/>
              </a:solidFill>
              <a:ln w="19050">
                <a:solidFill>
                  <a:schemeClr val="lt1"/>
                </a:solidFill>
              </a:ln>
              <a:effectLst/>
            </c:spPr>
          </c:dPt>
          <c:dPt>
            <c:idx val="2"/>
            <c:bubble3D val="0"/>
            <c:spPr>
              <a:solidFill>
                <a:schemeClr val="accent6"/>
              </a:solidFill>
              <a:ln w="19050">
                <a:solidFill>
                  <a:schemeClr val="lt1"/>
                </a:solidFill>
              </a:ln>
              <a:effectLst/>
            </c:spPr>
          </c:dPt>
          <c:dLbls>
            <c:dLbl>
              <c:idx val="0"/>
              <c:layout>
                <c:manualLayout>
                  <c:x val="0.130232558139535"/>
                  <c:y val="-0.0293501048218029"/>
                </c:manualLayout>
              </c:layout>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102325581395349"/>
                  <c:y val="-7.68684341616301e-17"/>
                </c:manualLayout>
              </c:layout>
              <c:showLegendKey val="0"/>
              <c:showVal val="1"/>
              <c:showCatName val="1"/>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出国!$E$3:$E$5</c:f>
              <c:strCache>
                <c:ptCount val="3"/>
                <c:pt idx="0">
                  <c:v>爱尔兰格里菲斯大学</c:v>
                </c:pt>
                <c:pt idx="1">
                  <c:v>英国桑德兰大学</c:v>
                </c:pt>
                <c:pt idx="2">
                  <c:v>英国约克圣约翰大学</c:v>
                </c:pt>
              </c:strCache>
            </c:strRef>
          </c:cat>
          <c:val>
            <c:numRef>
              <c:f>出国!$F$3:$F$5</c:f>
              <c:numCache>
                <c:formatCode>General</c:formatCode>
                <c:ptCount val="3"/>
                <c:pt idx="0">
                  <c:v>45</c:v>
                </c:pt>
                <c:pt idx="1">
                  <c:v>7</c:v>
                </c:pt>
                <c:pt idx="2">
                  <c:v>11</c:v>
                </c:pt>
              </c:numCache>
            </c:numRef>
          </c:val>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整理!$E$27</c:f>
              <c:strCache>
                <c:ptCount val="1"/>
                <c:pt idx="0">
                  <c:v>频数</c:v>
                </c:pt>
              </c:strCache>
            </c:strRef>
          </c:tx>
          <c:spPr/>
          <c:explosion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dPt>
          <c:dPt>
            <c:idx val="4"/>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整理!$D$28:$D$32</c:f>
              <c:strCache>
                <c:ptCount val="5"/>
                <c:pt idx="0">
                  <c:v>自己直接联系应聘</c:v>
                </c:pt>
                <c:pt idx="1">
                  <c:v>母校推荐（校园招聘会、老师和校友推荐、母校就业网站等）</c:v>
                </c:pt>
                <c:pt idx="2">
                  <c:v>亲友推荐</c:v>
                </c:pt>
                <c:pt idx="3">
                  <c:v>社会中介推荐（人才市场、社会网站）</c:v>
                </c:pt>
                <c:pt idx="4">
                  <c:v>其他</c:v>
                </c:pt>
              </c:strCache>
            </c:strRef>
          </c:cat>
          <c:val>
            <c:numRef>
              <c:f>整理!$E$28:$E$32</c:f>
              <c:numCache>
                <c:formatCode>General</c:formatCode>
                <c:ptCount val="5"/>
                <c:pt idx="0">
                  <c:v>360</c:v>
                </c:pt>
                <c:pt idx="1">
                  <c:v>453</c:v>
                </c:pt>
                <c:pt idx="2">
                  <c:v>156</c:v>
                </c:pt>
                <c:pt idx="3">
                  <c:v>88</c:v>
                </c:pt>
                <c:pt idx="4">
                  <c:v>35</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整理!$C$35</c:f>
              <c:strCache>
                <c:ptCount val="1"/>
                <c:pt idx="0">
                  <c:v>比例</c:v>
                </c:pt>
              </c:strCache>
            </c:strRef>
          </c:tx>
          <c:spPr>
            <a:ln w="22225" cap="rnd">
              <a:solidFill>
                <a:schemeClr val="accent2"/>
              </a:solidFill>
              <a:round/>
            </a:ln>
            <a:effectLst/>
          </c:spPr>
          <c:marker>
            <c:symbol val="diamond"/>
            <c:size val="5"/>
            <c:spPr>
              <a:solidFill>
                <a:schemeClr val="lt1"/>
              </a:solidFill>
              <a:ln w="1587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dk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整理!$A$36:$A$41</c:f>
              <c:strCache>
                <c:ptCount val="6"/>
                <c:pt idx="0">
                  <c:v>2000元以下</c:v>
                </c:pt>
                <c:pt idx="1">
                  <c:v>2001-4000元</c:v>
                </c:pt>
                <c:pt idx="2">
                  <c:v>4001 -6000元</c:v>
                </c:pt>
                <c:pt idx="3">
                  <c:v>6001 -8000元</c:v>
                </c:pt>
                <c:pt idx="4">
                  <c:v>8001 -10000元</c:v>
                </c:pt>
                <c:pt idx="5">
                  <c:v>1万元以上</c:v>
                </c:pt>
              </c:strCache>
            </c:strRef>
          </c:cat>
          <c:val>
            <c:numRef>
              <c:f>整理!$C$36:$C$41</c:f>
              <c:numCache>
                <c:formatCode>0.00%</c:formatCode>
                <c:ptCount val="6"/>
                <c:pt idx="0">
                  <c:v>0.703296703296703</c:v>
                </c:pt>
                <c:pt idx="1">
                  <c:v>0.173076923076923</c:v>
                </c:pt>
                <c:pt idx="2">
                  <c:v>0.0567765567765568</c:v>
                </c:pt>
                <c:pt idx="3">
                  <c:v>0.0238095238095238</c:v>
                </c:pt>
                <c:pt idx="4">
                  <c:v>0.0128205128205128</c:v>
                </c:pt>
                <c:pt idx="5">
                  <c:v>0.0302197802197802</c:v>
                </c:pt>
              </c:numCache>
            </c:numRef>
          </c:val>
          <c:smooth val="0"/>
        </c:ser>
        <c:dLbls>
          <c:showLegendKey val="0"/>
          <c:showVal val="1"/>
          <c:showCatName val="0"/>
          <c:showSerName val="0"/>
          <c:showPercent val="0"/>
          <c:showBubbleSize val="0"/>
        </c:dLbls>
        <c:marker val="1"/>
        <c:smooth val="0"/>
        <c:axId val="901370176"/>
        <c:axId val="310945968"/>
      </c:lineChart>
      <c:catAx>
        <c:axId val="90137017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zh-CN" sz="900" b="0" i="0" u="none" strike="noStrike" kern="1200" cap="none" spc="0" normalizeH="0" baseline="0">
                <a:solidFill>
                  <a:schemeClr val="dk1">
                    <a:lumMod val="65000"/>
                    <a:lumOff val="35000"/>
                  </a:schemeClr>
                </a:solidFill>
                <a:latin typeface="+mn-lt"/>
                <a:ea typeface="+mn-ea"/>
                <a:cs typeface="+mn-cs"/>
              </a:defRPr>
            </a:pPr>
          </a:p>
        </c:txPr>
        <c:crossAx val="310945968"/>
        <c:crosses val="autoZero"/>
        <c:auto val="1"/>
        <c:lblAlgn val="ctr"/>
        <c:lblOffset val="100"/>
        <c:noMultiLvlLbl val="0"/>
      </c:catAx>
      <c:valAx>
        <c:axId val="310945968"/>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crossAx val="90137017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整理!$F$44</c:f>
              <c:strCache>
                <c:ptCount val="1"/>
                <c:pt idx="0">
                  <c:v>比例</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整理!$D$45:$D$55</c:f>
              <c:strCache>
                <c:ptCount val="11"/>
                <c:pt idx="0">
                  <c:v>参加竞赛获奖经历</c:v>
                </c:pt>
                <c:pt idx="1">
                  <c:v>其他</c:v>
                </c:pt>
                <c:pt idx="2">
                  <c:v>担任学生干部</c:v>
                </c:pt>
                <c:pt idx="3">
                  <c:v>职业认知</c:v>
                </c:pt>
                <c:pt idx="4">
                  <c:v>母校声誉</c:v>
                </c:pt>
                <c:pt idx="5">
                  <c:v>社会关系</c:v>
                </c:pt>
                <c:pt idx="6">
                  <c:v>职业资格证书</c:v>
                </c:pt>
                <c:pt idx="7">
                  <c:v>专业背景</c:v>
                </c:pt>
                <c:pt idx="8">
                  <c:v>学历</c:v>
                </c:pt>
                <c:pt idx="9">
                  <c:v>实践/工作经验</c:v>
                </c:pt>
                <c:pt idx="10">
                  <c:v>个人素质</c:v>
                </c:pt>
              </c:strCache>
            </c:strRef>
          </c:cat>
          <c:val>
            <c:numRef>
              <c:f>整理!$F$45:$F$55</c:f>
              <c:numCache>
                <c:formatCode>0.00%</c:formatCode>
                <c:ptCount val="11"/>
                <c:pt idx="0">
                  <c:v>0.0158730158730159</c:v>
                </c:pt>
                <c:pt idx="1">
                  <c:v>0.0167887667887668</c:v>
                </c:pt>
                <c:pt idx="2">
                  <c:v>0.0265567765567766</c:v>
                </c:pt>
                <c:pt idx="3">
                  <c:v>0.043040293040293</c:v>
                </c:pt>
                <c:pt idx="4">
                  <c:v>0.0616605616605617</c:v>
                </c:pt>
                <c:pt idx="5">
                  <c:v>0.061965811965812</c:v>
                </c:pt>
                <c:pt idx="6">
                  <c:v>0.0845543345543346</c:v>
                </c:pt>
                <c:pt idx="7">
                  <c:v>0.123321123321123</c:v>
                </c:pt>
                <c:pt idx="8">
                  <c:v>0.163003663003663</c:v>
                </c:pt>
                <c:pt idx="9">
                  <c:v>0.198107448107448</c:v>
                </c:pt>
                <c:pt idx="10">
                  <c:v>0.205128205128205</c:v>
                </c:pt>
              </c:numCache>
            </c:numRef>
          </c:val>
        </c:ser>
        <c:dLbls>
          <c:showLegendKey val="0"/>
          <c:showVal val="1"/>
          <c:showCatName val="0"/>
          <c:showSerName val="0"/>
          <c:showPercent val="0"/>
          <c:showBubbleSize val="0"/>
        </c:dLbls>
        <c:gapWidth val="150"/>
        <c:axId val="310946752"/>
        <c:axId val="310947144"/>
      </c:barChart>
      <c:catAx>
        <c:axId val="3109467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0947144"/>
        <c:crosses val="autoZero"/>
        <c:auto val="1"/>
        <c:lblAlgn val="ctr"/>
        <c:lblOffset val="100"/>
        <c:noMultiLvlLbl val="0"/>
      </c:catAx>
      <c:valAx>
        <c:axId val="31094714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0946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4"/>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5"/>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6"/>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dLbl>
              <c:idx val="0"/>
              <c:layout>
                <c:manualLayout>
                  <c:x val="-0.08"/>
                  <c:y val="0.032956615717153"/>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16296296296296"/>
                      <c:h val="0.147058823529412"/>
                    </c:manualLayout>
                  </c15:layout>
                </c:ext>
              </c:extLst>
            </c:dLbl>
            <c:dLbl>
              <c:idx val="3"/>
              <c:layout>
                <c:manualLayout>
                  <c:x val="0.142288947214931"/>
                  <c:y val="-0.118575575111935"/>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dLbl>
              <c:idx val="4"/>
              <c:layout>
                <c:manualLayout>
                  <c:x val="0.0464520268299796"/>
                  <c:y val="0.0033086305388297"/>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188577661125693"/>
                      <c:h val="0.100725644588544"/>
                    </c:manualLayout>
                  </c15:layout>
                </c:ext>
              </c:extLst>
            </c:dLbl>
            <c:dLbl>
              <c:idx val="5"/>
              <c:layout>
                <c:manualLayout>
                  <c:x val="0.111739165937591"/>
                  <c:y val="-0.00335031650455458"/>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dLbl>
              <c:idx val="6"/>
              <c:layout>
                <c:manualLayout>
                  <c:x val="0.0532187809857101"/>
                  <c:y val="-0.0142121352477999"/>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Sheet2!$E$181:$E$188</c:f>
              <c:strCache>
                <c:ptCount val="7"/>
                <c:pt idx="0">
                  <c:v>泛珠江三角洲地区</c:v>
                </c:pt>
                <c:pt idx="1">
                  <c:v>泛长江三角洲地区</c:v>
                </c:pt>
                <c:pt idx="2">
                  <c:v>泛渤海湾地区</c:v>
                </c:pt>
                <c:pt idx="3">
                  <c:v>西南地区</c:v>
                </c:pt>
                <c:pt idx="4">
                  <c:v>中部地区</c:v>
                </c:pt>
                <c:pt idx="5">
                  <c:v>西北地区</c:v>
                </c:pt>
                <c:pt idx="6">
                  <c:v>东北地区</c:v>
                </c:pt>
              </c:strCache>
            </c:strRef>
          </c:cat>
          <c:val>
            <c:numRef>
              <c:f>Sheet2!$F$181:$F$188</c:f>
              <c:numCache>
                <c:formatCode>General</c:formatCode>
                <c:ptCount val="7"/>
                <c:pt idx="0">
                  <c:v>132</c:v>
                </c:pt>
                <c:pt idx="1">
                  <c:v>196</c:v>
                </c:pt>
                <c:pt idx="2">
                  <c:v>156</c:v>
                </c:pt>
                <c:pt idx="3">
                  <c:v>105</c:v>
                </c:pt>
                <c:pt idx="4">
                  <c:v>77</c:v>
                </c:pt>
                <c:pt idx="5">
                  <c:v>87</c:v>
                </c:pt>
                <c:pt idx="6">
                  <c:v>78</c:v>
                </c:pt>
              </c:numCache>
            </c:numRef>
          </c:val>
        </c:ser>
        <c:ser>
          <c:idx val="1"/>
          <c:order val="1"/>
          <c:spPr/>
          <c:explosion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4"/>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5"/>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6"/>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delete val="1"/>
          </c:dLbls>
          <c:cat>
            <c:strRef>
              <c:f>Sheet2!$E$181:$E$188</c:f>
              <c:strCache>
                <c:ptCount val="7"/>
                <c:pt idx="0">
                  <c:v>泛珠江三角洲地区</c:v>
                </c:pt>
                <c:pt idx="1">
                  <c:v>泛长江三角洲地区</c:v>
                </c:pt>
                <c:pt idx="2">
                  <c:v>泛渤海湾地区</c:v>
                </c:pt>
                <c:pt idx="3">
                  <c:v>西南地区</c:v>
                </c:pt>
                <c:pt idx="4">
                  <c:v>中部地区</c:v>
                </c:pt>
                <c:pt idx="5">
                  <c:v>西北地区</c:v>
                </c:pt>
                <c:pt idx="6">
                  <c:v>东北地区</c:v>
                </c:pt>
              </c:strCache>
            </c:strRef>
          </c:cat>
          <c:val>
            <c:numRef>
              <c:f>Sheet2!$G$181:$G$188</c:f>
              <c:numCache>
                <c:formatCode>0.00%</c:formatCode>
                <c:ptCount val="7"/>
                <c:pt idx="0">
                  <c:v>0.15884476534296</c:v>
                </c:pt>
                <c:pt idx="1">
                  <c:v>0.235860409145608</c:v>
                </c:pt>
                <c:pt idx="2">
                  <c:v>0.187725631768953</c:v>
                </c:pt>
                <c:pt idx="3">
                  <c:v>0.126353790613718</c:v>
                </c:pt>
                <c:pt idx="4">
                  <c:v>0.0926594464500602</c:v>
                </c:pt>
                <c:pt idx="5">
                  <c:v>0.104693140794224</c:v>
                </c:pt>
                <c:pt idx="6">
                  <c:v>0.0938628158844765</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整理!$B$58</c:f>
              <c:strCache>
                <c:ptCount val="1"/>
                <c:pt idx="0">
                  <c:v>频数</c:v>
                </c:pt>
              </c:strCache>
            </c:strRef>
          </c:tx>
          <c:spPr/>
          <c:explosion val="0"/>
          <c:dPt>
            <c:idx val="0"/>
            <c:bubble3D val="0"/>
            <c:spPr>
              <a:solidFill>
                <a:schemeClr val="accent2"/>
              </a:solidFill>
              <a:ln w="19050">
                <a:solidFill>
                  <a:schemeClr val="lt1"/>
                </a:solidFill>
              </a:ln>
              <a:effectLst/>
            </c:spPr>
          </c:dPt>
          <c:dPt>
            <c:idx val="1"/>
            <c:bubble3D val="0"/>
            <c:spPr>
              <a:solidFill>
                <a:schemeClr val="accent4"/>
              </a:solidFill>
              <a:ln w="19050">
                <a:solidFill>
                  <a:schemeClr val="lt1"/>
                </a:solidFill>
              </a:ln>
              <a:effectLst/>
            </c:spPr>
          </c:dPt>
          <c:dPt>
            <c:idx val="2"/>
            <c:bubble3D val="0"/>
            <c:spPr>
              <a:solidFill>
                <a:schemeClr val="accent6"/>
              </a:solidFill>
              <a:ln w="19050">
                <a:solidFill>
                  <a:schemeClr val="lt1"/>
                </a:solidFill>
              </a:ln>
              <a:effectLst/>
            </c:spPr>
          </c:dPt>
          <c:dPt>
            <c:idx val="3"/>
            <c:bubble3D val="0"/>
            <c:spPr>
              <a:solidFill>
                <a:schemeClr val="accent2">
                  <a:lumMod val="60000"/>
                </a:schemeClr>
              </a:solidFill>
              <a:ln w="19050">
                <a:solidFill>
                  <a:schemeClr val="lt1"/>
                </a:solidFill>
              </a:ln>
              <a:effectLst/>
            </c:spPr>
          </c:dPt>
          <c:dLbls>
            <c:dLbl>
              <c:idx val="0"/>
              <c:layout>
                <c:manualLayout>
                  <c:x val="0.1"/>
                  <c:y val="-0.0555555555555556"/>
                </c:manualLayout>
              </c:layout>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127777777777778"/>
                  <c:y val="0.0972222222222222"/>
                </c:manualLayout>
              </c:layout>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136111111111111"/>
                  <c:y val="0.0185185185185185"/>
                </c:manualLayout>
              </c:layout>
              <c:showLegendKey val="0"/>
              <c:showVal val="1"/>
              <c:showCatName val="1"/>
              <c:showSerName val="0"/>
              <c:showPercent val="1"/>
              <c:showBubbleSize val="0"/>
              <c:extLst>
                <c:ext xmlns:c15="http://schemas.microsoft.com/office/drawing/2012/chart" uri="{CE6537A1-D6FC-4f65-9D91-7224C49458BB}">
                  <c15:layout/>
                </c:ext>
              </c:extLst>
            </c:dLbl>
            <c:dLbl>
              <c:idx val="3"/>
              <c:layout>
                <c:manualLayout>
                  <c:x val="-0.122222222222222"/>
                  <c:y val="-0.0416666666666667"/>
                </c:manualLayout>
              </c:layout>
              <c:showLegendKey val="0"/>
              <c:showVal val="1"/>
              <c:showCatName val="1"/>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整理!$A$59:$A$62</c:f>
              <c:strCache>
                <c:ptCount val="4"/>
                <c:pt idx="0">
                  <c:v>没有签</c:v>
                </c:pt>
                <c:pt idx="1">
                  <c:v>签了，5年及以上有固定期限的劳动合同或就业协议</c:v>
                </c:pt>
                <c:pt idx="2">
                  <c:v>签了，5年以下劳动合同或就业协议</c:v>
                </c:pt>
                <c:pt idx="3">
                  <c:v>签了，无固定期限劳动合同（包括有编制的公务员/事业单位工作人员）</c:v>
                </c:pt>
              </c:strCache>
            </c:strRef>
          </c:cat>
          <c:val>
            <c:numRef>
              <c:f>整理!$B$59:$B$62</c:f>
              <c:numCache>
                <c:formatCode>General</c:formatCode>
                <c:ptCount val="4"/>
                <c:pt idx="0">
                  <c:v>350</c:v>
                </c:pt>
                <c:pt idx="1">
                  <c:v>108</c:v>
                </c:pt>
                <c:pt idx="2">
                  <c:v>338</c:v>
                </c:pt>
                <c:pt idx="3">
                  <c:v>296</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整理!$A$21</c:f>
              <c:strCache>
                <c:ptCount val="1"/>
                <c:pt idx="0">
                  <c:v>非常满意</c:v>
                </c:pt>
              </c:strCache>
            </c:strRef>
          </c:tx>
          <c:spPr>
            <a:solidFill>
              <a:schemeClr val="accent2"/>
            </a:solidFill>
            <a:ln>
              <a:noFill/>
            </a:ln>
            <a:effectLst/>
            <a:sp3d/>
          </c:spPr>
          <c:invertIfNegative val="0"/>
          <c:dLbls>
            <c:delete val="1"/>
          </c:dLbls>
          <c:cat>
            <c:strRef>
              <c:f>整理!$B$20:$D$20</c:f>
              <c:strCache>
                <c:ptCount val="3"/>
                <c:pt idx="0">
                  <c:v>本科生毕业</c:v>
                </c:pt>
                <c:pt idx="1">
                  <c:v>专科生毕业</c:v>
                </c:pt>
                <c:pt idx="2">
                  <c:v>总计</c:v>
                </c:pt>
              </c:strCache>
            </c:strRef>
          </c:cat>
          <c:val>
            <c:numRef>
              <c:f>整理!$B$21:$D$21</c:f>
              <c:numCache>
                <c:formatCode>0.00%</c:formatCode>
                <c:ptCount val="3"/>
                <c:pt idx="0">
                  <c:v>0.185714285714286</c:v>
                </c:pt>
                <c:pt idx="1">
                  <c:v>0.259615384615385</c:v>
                </c:pt>
                <c:pt idx="2">
                  <c:v>0.191073919107392</c:v>
                </c:pt>
              </c:numCache>
            </c:numRef>
          </c:val>
        </c:ser>
        <c:ser>
          <c:idx val="1"/>
          <c:order val="1"/>
          <c:tx>
            <c:strRef>
              <c:f>整理!$A$22</c:f>
              <c:strCache>
                <c:ptCount val="1"/>
                <c:pt idx="0">
                  <c:v>满意</c:v>
                </c:pt>
              </c:strCache>
            </c:strRef>
          </c:tx>
          <c:spPr>
            <a:solidFill>
              <a:schemeClr val="accent4"/>
            </a:solidFill>
            <a:ln>
              <a:noFill/>
            </a:ln>
            <a:effectLst/>
            <a:sp3d/>
          </c:spPr>
          <c:invertIfNegative val="0"/>
          <c:dLbls>
            <c:delete val="1"/>
          </c:dLbls>
          <c:cat>
            <c:strRef>
              <c:f>整理!$B$20:$D$20</c:f>
              <c:strCache>
                <c:ptCount val="3"/>
                <c:pt idx="0">
                  <c:v>本科生毕业</c:v>
                </c:pt>
                <c:pt idx="1">
                  <c:v>专科生毕业</c:v>
                </c:pt>
                <c:pt idx="2">
                  <c:v>总计</c:v>
                </c:pt>
              </c:strCache>
            </c:strRef>
          </c:cat>
          <c:val>
            <c:numRef>
              <c:f>整理!$B$22:$D$22</c:f>
              <c:numCache>
                <c:formatCode>0.00%</c:formatCode>
                <c:ptCount val="3"/>
                <c:pt idx="0">
                  <c:v>0.339097744360902</c:v>
                </c:pt>
                <c:pt idx="1">
                  <c:v>0.355769230769231</c:v>
                </c:pt>
                <c:pt idx="2">
                  <c:v>0.340306834030683</c:v>
                </c:pt>
              </c:numCache>
            </c:numRef>
          </c:val>
        </c:ser>
        <c:ser>
          <c:idx val="2"/>
          <c:order val="2"/>
          <c:tx>
            <c:strRef>
              <c:f>整理!$A$23</c:f>
              <c:strCache>
                <c:ptCount val="1"/>
                <c:pt idx="0">
                  <c:v>比较满意</c:v>
                </c:pt>
              </c:strCache>
            </c:strRef>
          </c:tx>
          <c:spPr>
            <a:solidFill>
              <a:schemeClr val="accent6"/>
            </a:solidFill>
            <a:ln>
              <a:noFill/>
            </a:ln>
            <a:effectLst/>
            <a:sp3d/>
          </c:spPr>
          <c:invertIfNegative val="0"/>
          <c:dLbls>
            <c:delete val="1"/>
          </c:dLbls>
          <c:cat>
            <c:strRef>
              <c:f>整理!$B$20:$D$20</c:f>
              <c:strCache>
                <c:ptCount val="3"/>
                <c:pt idx="0">
                  <c:v>本科生毕业</c:v>
                </c:pt>
                <c:pt idx="1">
                  <c:v>专科生毕业</c:v>
                </c:pt>
                <c:pt idx="2">
                  <c:v>总计</c:v>
                </c:pt>
              </c:strCache>
            </c:strRef>
          </c:cat>
          <c:val>
            <c:numRef>
              <c:f>整理!$B$23:$D$23</c:f>
              <c:numCache>
                <c:formatCode>0.00%</c:formatCode>
                <c:ptCount val="3"/>
                <c:pt idx="0">
                  <c:v>0.378947368421053</c:v>
                </c:pt>
                <c:pt idx="1">
                  <c:v>0.307692307692308</c:v>
                </c:pt>
                <c:pt idx="2">
                  <c:v>0.373779637377964</c:v>
                </c:pt>
              </c:numCache>
            </c:numRef>
          </c:val>
        </c:ser>
        <c:ser>
          <c:idx val="3"/>
          <c:order val="3"/>
          <c:tx>
            <c:strRef>
              <c:f>整理!$A$24</c:f>
              <c:strCache>
                <c:ptCount val="1"/>
                <c:pt idx="0">
                  <c:v>不太满意</c:v>
                </c:pt>
              </c:strCache>
            </c:strRef>
          </c:tx>
          <c:spPr>
            <a:solidFill>
              <a:schemeClr val="accent2">
                <a:lumMod val="60000"/>
              </a:schemeClr>
            </a:solidFill>
            <a:ln>
              <a:noFill/>
            </a:ln>
            <a:effectLst/>
            <a:sp3d/>
          </c:spPr>
          <c:invertIfNegative val="0"/>
          <c:dLbls>
            <c:delete val="1"/>
          </c:dLbls>
          <c:cat>
            <c:strRef>
              <c:f>整理!$B$20:$D$20</c:f>
              <c:strCache>
                <c:ptCount val="3"/>
                <c:pt idx="0">
                  <c:v>本科生毕业</c:v>
                </c:pt>
                <c:pt idx="1">
                  <c:v>专科生毕业</c:v>
                </c:pt>
                <c:pt idx="2">
                  <c:v>总计</c:v>
                </c:pt>
              </c:strCache>
            </c:strRef>
          </c:cat>
          <c:val>
            <c:numRef>
              <c:f>整理!$B$24:$D$24</c:f>
              <c:numCache>
                <c:formatCode>0.00%</c:formatCode>
                <c:ptCount val="3"/>
                <c:pt idx="0">
                  <c:v>0.0924812030075188</c:v>
                </c:pt>
                <c:pt idx="1">
                  <c:v>0.0673076923076923</c:v>
                </c:pt>
                <c:pt idx="2">
                  <c:v>0.0906555090655509</c:v>
                </c:pt>
              </c:numCache>
            </c:numRef>
          </c:val>
        </c:ser>
        <c:ser>
          <c:idx val="4"/>
          <c:order val="4"/>
          <c:tx>
            <c:strRef>
              <c:f>整理!$A$25</c:f>
              <c:strCache>
                <c:ptCount val="1"/>
                <c:pt idx="0">
                  <c:v>很不满意</c:v>
                </c:pt>
              </c:strCache>
            </c:strRef>
          </c:tx>
          <c:spPr>
            <a:solidFill>
              <a:schemeClr val="accent4">
                <a:lumMod val="60000"/>
              </a:schemeClr>
            </a:solidFill>
            <a:ln>
              <a:noFill/>
            </a:ln>
            <a:effectLst/>
            <a:sp3d/>
          </c:spPr>
          <c:invertIfNegative val="0"/>
          <c:dLbls>
            <c:delete val="1"/>
          </c:dLbls>
          <c:cat>
            <c:strRef>
              <c:f>整理!$B$20:$D$20</c:f>
              <c:strCache>
                <c:ptCount val="3"/>
                <c:pt idx="0">
                  <c:v>本科生毕业</c:v>
                </c:pt>
                <c:pt idx="1">
                  <c:v>专科生毕业</c:v>
                </c:pt>
                <c:pt idx="2">
                  <c:v>总计</c:v>
                </c:pt>
              </c:strCache>
            </c:strRef>
          </c:cat>
          <c:val>
            <c:numRef>
              <c:f>整理!$B$25:$D$25</c:f>
              <c:numCache>
                <c:formatCode>0.00%</c:formatCode>
                <c:ptCount val="3"/>
                <c:pt idx="0">
                  <c:v>0.0037593984962406</c:v>
                </c:pt>
                <c:pt idx="1">
                  <c:v>0.00961538461538462</c:v>
                </c:pt>
                <c:pt idx="2">
                  <c:v>0.00418410041841004</c:v>
                </c:pt>
              </c:numCache>
            </c:numRef>
          </c:val>
        </c:ser>
        <c:dLbls>
          <c:showLegendKey val="0"/>
          <c:showVal val="0"/>
          <c:showCatName val="0"/>
          <c:showSerName val="0"/>
          <c:showPercent val="0"/>
          <c:showBubbleSize val="0"/>
        </c:dLbls>
        <c:gapWidth val="150"/>
        <c:overlap val="100"/>
        <c:axId val="310947928"/>
        <c:axId val="310948320"/>
      </c:barChart>
      <c:catAx>
        <c:axId val="3109479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0948320"/>
        <c:crosses val="autoZero"/>
        <c:auto val="1"/>
        <c:lblAlgn val="ctr"/>
        <c:lblOffset val="100"/>
        <c:noMultiLvlLbl val="0"/>
      </c:catAx>
      <c:valAx>
        <c:axId val="31094832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09479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Sheet6!$Q$74</c:f>
              <c:strCache>
                <c:ptCount val="1"/>
                <c:pt idx="0">
                  <c:v>本科生毕业</c:v>
                </c:pt>
              </c:strCache>
            </c:strRef>
          </c:tx>
          <c:spPr>
            <a:solidFill>
              <a:schemeClr val="accent2"/>
            </a:solidFill>
            <a:ln>
              <a:noFill/>
            </a:ln>
            <a:effectLst/>
            <a:sp3d/>
          </c:spPr>
          <c:invertIfNegative val="0"/>
          <c:dLbls>
            <c:delete val="1"/>
          </c:dLbls>
          <c:cat>
            <c:strRef>
              <c:f>Sheet6!$P$75:$P$81</c:f>
              <c:strCache>
                <c:ptCount val="7"/>
                <c:pt idx="0">
                  <c:v>2000元以下</c:v>
                </c:pt>
                <c:pt idx="1">
                  <c:v>2001-3000元</c:v>
                </c:pt>
                <c:pt idx="2">
                  <c:v>3001-4000元</c:v>
                </c:pt>
                <c:pt idx="3">
                  <c:v>4001-5000元</c:v>
                </c:pt>
                <c:pt idx="4">
                  <c:v>5001-6000元</c:v>
                </c:pt>
                <c:pt idx="5">
                  <c:v>6001-8000元</c:v>
                </c:pt>
                <c:pt idx="6">
                  <c:v>8000元以上</c:v>
                </c:pt>
              </c:strCache>
            </c:strRef>
          </c:cat>
          <c:val>
            <c:numRef>
              <c:f>Sheet6!$Q$75:$Q$81</c:f>
              <c:numCache>
                <c:formatCode>0.00%</c:formatCode>
                <c:ptCount val="7"/>
                <c:pt idx="0">
                  <c:v>0.0106382978723404</c:v>
                </c:pt>
                <c:pt idx="1">
                  <c:v>0.236943907156673</c:v>
                </c:pt>
                <c:pt idx="2">
                  <c:v>0.414893617021277</c:v>
                </c:pt>
                <c:pt idx="3">
                  <c:v>0.180851063829787</c:v>
                </c:pt>
                <c:pt idx="4">
                  <c:v>0.074468085106383</c:v>
                </c:pt>
                <c:pt idx="5">
                  <c:v>0.0589941972920696</c:v>
                </c:pt>
                <c:pt idx="6">
                  <c:v>0.02321083172147</c:v>
                </c:pt>
              </c:numCache>
            </c:numRef>
          </c:val>
        </c:ser>
        <c:ser>
          <c:idx val="1"/>
          <c:order val="1"/>
          <c:tx>
            <c:strRef>
              <c:f>Sheet6!$R$74</c:f>
              <c:strCache>
                <c:ptCount val="1"/>
                <c:pt idx="0">
                  <c:v>专科生毕业</c:v>
                </c:pt>
              </c:strCache>
            </c:strRef>
          </c:tx>
          <c:spPr>
            <a:solidFill>
              <a:schemeClr val="accent4"/>
            </a:solidFill>
            <a:ln>
              <a:noFill/>
            </a:ln>
            <a:effectLst/>
            <a:sp3d/>
          </c:spPr>
          <c:invertIfNegative val="0"/>
          <c:dLbls>
            <c:delete val="1"/>
          </c:dLbls>
          <c:cat>
            <c:strRef>
              <c:f>Sheet6!$P$75:$P$81</c:f>
              <c:strCache>
                <c:ptCount val="7"/>
                <c:pt idx="0">
                  <c:v>2000元以下</c:v>
                </c:pt>
                <c:pt idx="1">
                  <c:v>2001-3000元</c:v>
                </c:pt>
                <c:pt idx="2">
                  <c:v>3001-4000元</c:v>
                </c:pt>
                <c:pt idx="3">
                  <c:v>4001-5000元</c:v>
                </c:pt>
                <c:pt idx="4">
                  <c:v>5001-6000元</c:v>
                </c:pt>
                <c:pt idx="5">
                  <c:v>6001-8000元</c:v>
                </c:pt>
                <c:pt idx="6">
                  <c:v>8000元以上</c:v>
                </c:pt>
              </c:strCache>
            </c:strRef>
          </c:cat>
          <c:val>
            <c:numRef>
              <c:f>Sheet6!$R$75:$R$81</c:f>
              <c:numCache>
                <c:formatCode>0.00%</c:formatCode>
                <c:ptCount val="7"/>
                <c:pt idx="0">
                  <c:v>0.0172413793103448</c:v>
                </c:pt>
                <c:pt idx="1">
                  <c:v>0.620689655172414</c:v>
                </c:pt>
                <c:pt idx="2">
                  <c:v>0.206896551724138</c:v>
                </c:pt>
                <c:pt idx="3">
                  <c:v>0.0517241379310345</c:v>
                </c:pt>
                <c:pt idx="4">
                  <c:v>0.0344827586206897</c:v>
                </c:pt>
                <c:pt idx="5">
                  <c:v>0.0517241379310345</c:v>
                </c:pt>
                <c:pt idx="6">
                  <c:v>0.0172413793103448</c:v>
                </c:pt>
              </c:numCache>
            </c:numRef>
          </c:val>
        </c:ser>
        <c:ser>
          <c:idx val="2"/>
          <c:order val="2"/>
          <c:tx>
            <c:strRef>
              <c:f>Sheet6!$S$74</c:f>
              <c:strCache>
                <c:ptCount val="1"/>
                <c:pt idx="0">
                  <c:v>总体</c:v>
                </c:pt>
              </c:strCache>
            </c:strRef>
          </c:tx>
          <c:spPr>
            <a:solidFill>
              <a:schemeClr val="accent6"/>
            </a:solidFill>
            <a:ln>
              <a:noFill/>
            </a:ln>
            <a:effectLst/>
            <a:sp3d/>
          </c:spPr>
          <c:invertIfNegative val="0"/>
          <c:dLbls>
            <c:delete val="1"/>
          </c:dLbls>
          <c:cat>
            <c:strRef>
              <c:f>Sheet6!$P$75:$P$81</c:f>
              <c:strCache>
                <c:ptCount val="7"/>
                <c:pt idx="0">
                  <c:v>2000元以下</c:v>
                </c:pt>
                <c:pt idx="1">
                  <c:v>2001-3000元</c:v>
                </c:pt>
                <c:pt idx="2">
                  <c:v>3001-4000元</c:v>
                </c:pt>
                <c:pt idx="3">
                  <c:v>4001-5000元</c:v>
                </c:pt>
                <c:pt idx="4">
                  <c:v>5001-6000元</c:v>
                </c:pt>
                <c:pt idx="5">
                  <c:v>6001-8000元</c:v>
                </c:pt>
                <c:pt idx="6">
                  <c:v>8000元以上</c:v>
                </c:pt>
              </c:strCache>
            </c:strRef>
          </c:cat>
          <c:val>
            <c:numRef>
              <c:f>Sheet6!$S$75:$S$81</c:f>
              <c:numCache>
                <c:formatCode>0.00%</c:formatCode>
                <c:ptCount val="7"/>
                <c:pt idx="0">
                  <c:v>0.010989010989011</c:v>
                </c:pt>
                <c:pt idx="1">
                  <c:v>0.257326007326007</c:v>
                </c:pt>
                <c:pt idx="2">
                  <c:v>0.403846153846154</c:v>
                </c:pt>
                <c:pt idx="3">
                  <c:v>0.173992673992674</c:v>
                </c:pt>
                <c:pt idx="4">
                  <c:v>0.0723443223443224</c:v>
                </c:pt>
                <c:pt idx="5">
                  <c:v>0.0586080586080586</c:v>
                </c:pt>
                <c:pt idx="6">
                  <c:v>0.0228937728937729</c:v>
                </c:pt>
              </c:numCache>
            </c:numRef>
          </c:val>
        </c:ser>
        <c:dLbls>
          <c:showLegendKey val="0"/>
          <c:showVal val="0"/>
          <c:showCatName val="0"/>
          <c:showSerName val="0"/>
          <c:showPercent val="0"/>
          <c:showBubbleSize val="0"/>
        </c:dLbls>
        <c:gapWidth val="150"/>
        <c:axId val="310949496"/>
        <c:axId val="310949888"/>
      </c:barChart>
      <c:catAx>
        <c:axId val="3109494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0949888"/>
        <c:crosses val="autoZero"/>
        <c:auto val="1"/>
        <c:lblAlgn val="ctr"/>
        <c:lblOffset val="100"/>
        <c:noMultiLvlLbl val="0"/>
      </c:catAx>
      <c:valAx>
        <c:axId val="3109498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0949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整理!$C$126</c:f>
              <c:strCache>
                <c:ptCount val="1"/>
                <c:pt idx="0">
                  <c:v>比例</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整理!$A$127:$A$131</c:f>
              <c:strCache>
                <c:ptCount val="5"/>
                <c:pt idx="0">
                  <c:v>非常满意</c:v>
                </c:pt>
                <c:pt idx="1">
                  <c:v>满意</c:v>
                </c:pt>
                <c:pt idx="2">
                  <c:v>比较满意</c:v>
                </c:pt>
                <c:pt idx="3">
                  <c:v>不太满意</c:v>
                </c:pt>
                <c:pt idx="4">
                  <c:v>很不满意</c:v>
                </c:pt>
              </c:strCache>
            </c:strRef>
          </c:cat>
          <c:val>
            <c:numRef>
              <c:f>整理!$C$127:$C$131</c:f>
              <c:numCache>
                <c:formatCode>0.00%</c:formatCode>
                <c:ptCount val="5"/>
                <c:pt idx="0">
                  <c:v>0.0879120879120879</c:v>
                </c:pt>
                <c:pt idx="1">
                  <c:v>0.208791208791209</c:v>
                </c:pt>
                <c:pt idx="2">
                  <c:v>0.472527472527473</c:v>
                </c:pt>
                <c:pt idx="3">
                  <c:v>0.218864468864469</c:v>
                </c:pt>
                <c:pt idx="4">
                  <c:v>0.0119047619047619</c:v>
                </c:pt>
              </c:numCache>
            </c:numRef>
          </c:val>
        </c:ser>
        <c:dLbls>
          <c:showLegendKey val="0"/>
          <c:showVal val="1"/>
          <c:showCatName val="0"/>
          <c:showSerName val="0"/>
          <c:showPercent val="0"/>
          <c:showBubbleSize val="0"/>
        </c:dLbls>
        <c:gapWidth val="150"/>
        <c:axId val="310951064"/>
        <c:axId val="310951456"/>
      </c:barChart>
      <c:catAx>
        <c:axId val="3109510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0951456"/>
        <c:crosses val="autoZero"/>
        <c:auto val="1"/>
        <c:lblAlgn val="ctr"/>
        <c:lblOffset val="100"/>
        <c:noMultiLvlLbl val="0"/>
      </c:catAx>
      <c:valAx>
        <c:axId val="3109514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0951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整理!$B$134</c:f>
              <c:strCache>
                <c:ptCount val="1"/>
                <c:pt idx="0">
                  <c:v>频数</c:v>
                </c:pt>
              </c:strCache>
            </c:strRef>
          </c:tx>
          <c:spPr/>
          <c:explosion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整理!$A$135:$A$138</c:f>
              <c:strCache>
                <c:ptCount val="4"/>
                <c:pt idx="0">
                  <c:v>没有提供任何福利保障</c:v>
                </c:pt>
                <c:pt idx="1">
                  <c:v>提供了基本保障（工伤、失业、医疗、养老、生育共五险）</c:v>
                </c:pt>
                <c:pt idx="2">
                  <c:v>提供了五险一金（住房公积金）</c:v>
                </c:pt>
                <c:pt idx="3">
                  <c:v>提供五险一金外，还提供了其他保障和补贴</c:v>
                </c:pt>
              </c:strCache>
            </c:strRef>
          </c:cat>
          <c:val>
            <c:numRef>
              <c:f>整理!$B$135:$B$138</c:f>
              <c:numCache>
                <c:formatCode>General</c:formatCode>
                <c:ptCount val="4"/>
                <c:pt idx="0">
                  <c:v>67</c:v>
                </c:pt>
                <c:pt idx="1">
                  <c:v>330</c:v>
                </c:pt>
                <c:pt idx="2">
                  <c:v>403</c:v>
                </c:pt>
                <c:pt idx="3">
                  <c:v>292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zh-CN"/>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整理!$C$141</c:f>
              <c:strCache>
                <c:ptCount val="1"/>
                <c:pt idx="0">
                  <c:v>比例</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整理!$A$142:$A$146</c:f>
              <c:strCache>
                <c:ptCount val="5"/>
                <c:pt idx="0">
                  <c:v>非常满意</c:v>
                </c:pt>
                <c:pt idx="1">
                  <c:v>满意</c:v>
                </c:pt>
                <c:pt idx="2">
                  <c:v>比较满意</c:v>
                </c:pt>
                <c:pt idx="3">
                  <c:v>不太满意</c:v>
                </c:pt>
                <c:pt idx="4">
                  <c:v>很不满意</c:v>
                </c:pt>
              </c:strCache>
            </c:strRef>
          </c:cat>
          <c:val>
            <c:numRef>
              <c:f>整理!$C$142:$C$146</c:f>
              <c:numCache>
                <c:formatCode>0.00%</c:formatCode>
                <c:ptCount val="5"/>
                <c:pt idx="0">
                  <c:v>0.130952380952381</c:v>
                </c:pt>
                <c:pt idx="1">
                  <c:v>0.336080586080586</c:v>
                </c:pt>
                <c:pt idx="2">
                  <c:v>0.411172161172161</c:v>
                </c:pt>
                <c:pt idx="3">
                  <c:v>0.107142857142857</c:v>
                </c:pt>
                <c:pt idx="4">
                  <c:v>0.0146520146520147</c:v>
                </c:pt>
              </c:numCache>
            </c:numRef>
          </c:val>
        </c:ser>
        <c:dLbls>
          <c:showLegendKey val="0"/>
          <c:showVal val="1"/>
          <c:showCatName val="0"/>
          <c:showSerName val="0"/>
          <c:showPercent val="0"/>
          <c:showBubbleSize val="0"/>
        </c:dLbls>
        <c:gapWidth val="150"/>
        <c:axId val="310952632"/>
        <c:axId val="310953024"/>
      </c:barChart>
      <c:catAx>
        <c:axId val="3109526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0953024"/>
        <c:crosses val="autoZero"/>
        <c:auto val="1"/>
        <c:lblAlgn val="ctr"/>
        <c:lblOffset val="100"/>
        <c:noMultiLvlLbl val="0"/>
      </c:catAx>
      <c:valAx>
        <c:axId val="3109530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0952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整理!$B$149</c:f>
              <c:strCache>
                <c:ptCount val="1"/>
                <c:pt idx="0">
                  <c:v>频数</c:v>
                </c:pt>
              </c:strCache>
            </c:strRef>
          </c:tx>
          <c:spPr/>
          <c:explosion val="0"/>
          <c:dPt>
            <c:idx val="0"/>
            <c:bubble3D val="0"/>
            <c:spPr>
              <a:solidFill>
                <a:schemeClr val="accent2"/>
              </a:solidFill>
              <a:ln w="19050">
                <a:solidFill>
                  <a:schemeClr val="lt1"/>
                </a:solidFill>
              </a:ln>
              <a:effectLst/>
            </c:spPr>
          </c:dPt>
          <c:dPt>
            <c:idx val="1"/>
            <c:bubble3D val="0"/>
            <c:spPr>
              <a:solidFill>
                <a:schemeClr val="accent4"/>
              </a:solidFill>
              <a:ln w="19050">
                <a:solidFill>
                  <a:schemeClr val="lt1"/>
                </a:solidFill>
              </a:ln>
              <a:effectLst/>
            </c:spPr>
          </c:dPt>
          <c:dPt>
            <c:idx val="2"/>
            <c:bubble3D val="0"/>
            <c:spPr>
              <a:solidFill>
                <a:schemeClr val="accent6"/>
              </a:solidFill>
              <a:ln w="19050">
                <a:solidFill>
                  <a:schemeClr val="lt1"/>
                </a:solidFill>
              </a:ln>
              <a:effectLst/>
            </c:spPr>
          </c:dPt>
          <c:dPt>
            <c:idx val="3"/>
            <c:bubble3D val="0"/>
            <c:spPr>
              <a:solidFill>
                <a:schemeClr val="accent2">
                  <a:lumMod val="60000"/>
                </a:schemeClr>
              </a:solidFill>
              <a:ln w="19050">
                <a:solidFill>
                  <a:schemeClr val="lt1"/>
                </a:solidFill>
              </a:ln>
              <a:effectLst/>
            </c:spPr>
          </c:dPt>
          <c:dPt>
            <c:idx val="4"/>
            <c:bubble3D val="0"/>
            <c:spPr>
              <a:solidFill>
                <a:schemeClr val="accent4">
                  <a:lumMod val="60000"/>
                </a:schemeClr>
              </a:solidFill>
              <a:ln w="19050">
                <a:solidFill>
                  <a:schemeClr val="lt1"/>
                </a:solidFill>
              </a:ln>
              <a:effectLst/>
            </c:spPr>
          </c:dPt>
          <c:dLbls>
            <c:dLbl>
              <c:idx val="0"/>
              <c:layout>
                <c:manualLayout>
                  <c:x val="0.0805555555555556"/>
                  <c:y val="-0.0555555555555556"/>
                </c:manualLayout>
              </c:layout>
              <c:tx>
                <c:rich>
                  <a:bodyPr rot="0" spcFirstLastPara="1" vertOverflow="ellipsis" vert="horz" wrap="square" lIns="38100" tIns="19050" rIns="38100" bIns="19050" anchor="ctr" anchorCtr="1"/>
                  <a:lstStyle/>
                  <a:p>
                    <a:fld id="{56bcab48-0bcf-4410-801f-b121cfcd8b1a}" type="CATEGORYNAME">
                      <a:t>[CATEGORY NAME]</a:t>
                    </a:fld>
                    <a:r>
                      <a:t>,</a:t>
                    </a:r>
                    <a:fld id="{98149aab-4b98-44dd-b84a-6c8e177ebb1a}"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0694444444444444"/>
                  <c:y val="0.0833333333333333"/>
                </c:manualLayout>
              </c:layout>
              <c:tx>
                <c:rich>
                  <a:bodyPr rot="0" spcFirstLastPara="1" vertOverflow="ellipsis" vert="horz" wrap="square" lIns="38100" tIns="19050" rIns="38100" bIns="19050" anchor="ctr" anchorCtr="1"/>
                  <a:lstStyle/>
                  <a:p>
                    <a:fld id="{d24de3fd-42ff-4832-abaa-586606968987}" type="CATEGORYNAME">
                      <a:t>[CATEGORY NAME]</a:t>
                    </a:fld>
                    <a:r>
                      <a:t>,</a:t>
                    </a:r>
                    <a:fld id="{e2750fcc-3a59-4b8c-bb0b-12b2a027a823}"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0861111111111111"/>
                  <c:y val="0.0277777777777778"/>
                </c:manualLayout>
              </c:layout>
              <c:tx>
                <c:rich>
                  <a:bodyPr rot="0" spcFirstLastPara="1" vertOverflow="ellipsis" vert="horz" wrap="square" lIns="38100" tIns="19050" rIns="38100" bIns="19050" anchor="ctr" anchorCtr="1"/>
                  <a:lstStyle/>
                  <a:p>
                    <a:fld id="{b1e00c2a-2173-4fa6-bb51-33a452ace22e}" type="CATEGORYNAME">
                      <a:t>[CATEGORY NAME]</a:t>
                    </a:fld>
                    <a:r>
                      <a:t>,</a:t>
                    </a:r>
                    <a:fld id="{946373a2-c1e2-4cea-8005-017fd92de7e7}"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1"/>
              <c:showBubbleSize val="0"/>
              <c:extLst>
                <c:ext xmlns:c15="http://schemas.microsoft.com/office/drawing/2012/chart" uri="{CE6537A1-D6FC-4f65-9D91-7224C49458BB}">
                  <c15:layout/>
                </c:ext>
              </c:extLst>
            </c:dLbl>
            <c:dLbl>
              <c:idx val="3"/>
              <c:layout>
                <c:manualLayout>
                  <c:x val="-0.108333333333333"/>
                  <c:y val="-0.0370370370370371"/>
                </c:manualLayout>
              </c:layout>
              <c:tx>
                <c:rich>
                  <a:bodyPr rot="0" spcFirstLastPara="1" vertOverflow="ellipsis" vert="horz" wrap="square" lIns="38100" tIns="19050" rIns="38100" bIns="19050" anchor="ctr" anchorCtr="1"/>
                  <a:lstStyle/>
                  <a:p>
                    <a:fld id="{cadd5af3-a13e-4829-8aeb-bdaa1f9b5dbf}" type="CATEGORYNAME">
                      <a:t>[CATEGORY NAME]</a:t>
                    </a:fld>
                    <a:r>
                      <a:t>,</a:t>
                    </a:r>
                    <a:fld id="{34b83a5b-da59-4140-a74a-a7a35a154c79}"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1"/>
              <c:showBubbleSize val="0"/>
              <c:extLst>
                <c:ext xmlns:c15="http://schemas.microsoft.com/office/drawing/2012/chart" uri="{CE6537A1-D6FC-4f65-9D91-7224C49458BB}">
                  <c15:layout/>
                </c:ext>
              </c:extLst>
            </c:dLbl>
            <c:dLbl>
              <c:idx val="4"/>
              <c:layout>
                <c:manualLayout>
                  <c:x val="-0.0166666666666667"/>
                  <c:y val="-0.0972222222222222"/>
                </c:manualLayout>
              </c:layout>
              <c:tx>
                <c:rich>
                  <a:bodyPr rot="0" spcFirstLastPara="1" vertOverflow="ellipsis" vert="horz" wrap="square" lIns="38100" tIns="19050" rIns="38100" bIns="19050" anchor="ctr" anchorCtr="1"/>
                  <a:lstStyle/>
                  <a:p>
                    <a:fld id="{e7649ef4-79fc-403c-a8b0-5f4f8fb3357f}" type="CATEGORYNAME">
                      <a:t>[CATEGORY NAME]</a:t>
                    </a:fld>
                    <a:r>
                      <a:t>,</a:t>
                    </a:r>
                    <a:fld id="{fca20408-1158-41f5-b3c2-a35bffcdffb2}"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整理!$A$150:$A$154</c:f>
              <c:strCache>
                <c:ptCount val="5"/>
                <c:pt idx="0">
                  <c:v>非常相关</c:v>
                </c:pt>
                <c:pt idx="1">
                  <c:v>相关</c:v>
                </c:pt>
                <c:pt idx="2">
                  <c:v>比较相关</c:v>
                </c:pt>
                <c:pt idx="3">
                  <c:v>相关度比较小</c:v>
                </c:pt>
                <c:pt idx="4">
                  <c:v>很不相关</c:v>
                </c:pt>
              </c:strCache>
            </c:strRef>
          </c:cat>
          <c:val>
            <c:numRef>
              <c:f>整理!$B$150:$B$154</c:f>
              <c:numCache>
                <c:formatCode>General</c:formatCode>
                <c:ptCount val="5"/>
                <c:pt idx="0">
                  <c:v>264</c:v>
                </c:pt>
                <c:pt idx="1">
                  <c:v>385</c:v>
                </c:pt>
                <c:pt idx="2">
                  <c:v>210</c:v>
                </c:pt>
                <c:pt idx="3">
                  <c:v>178</c:v>
                </c:pt>
                <c:pt idx="4">
                  <c:v>55</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Sheet2!$D$518:$D$522</c:f>
              <c:strCache>
                <c:ptCount val="5"/>
                <c:pt idx="0">
                  <c:v>非常吻合</c:v>
                </c:pt>
                <c:pt idx="1">
                  <c:v>吻合</c:v>
                </c:pt>
                <c:pt idx="2">
                  <c:v>比较吻合</c:v>
                </c:pt>
                <c:pt idx="3">
                  <c:v>吻合度较小</c:v>
                </c:pt>
                <c:pt idx="4">
                  <c:v>一点也不吻合</c:v>
                </c:pt>
              </c:strCache>
            </c:strRef>
          </c:cat>
          <c:val>
            <c:numRef>
              <c:f>Sheet2!$E$518:$E$522</c:f>
              <c:numCache>
                <c:formatCode>0.00%</c:formatCode>
                <c:ptCount val="5"/>
                <c:pt idx="0">
                  <c:v>0.1099</c:v>
                </c:pt>
                <c:pt idx="1">
                  <c:v>0.293</c:v>
                </c:pt>
                <c:pt idx="2">
                  <c:v>0.3974</c:v>
                </c:pt>
                <c:pt idx="3">
                  <c:v>0.1813</c:v>
                </c:pt>
                <c:pt idx="4">
                  <c:v>0.0183</c:v>
                </c:pt>
              </c:numCache>
            </c:numRef>
          </c:val>
        </c:ser>
        <c:dLbls>
          <c:showLegendKey val="0"/>
          <c:showVal val="0"/>
          <c:showCatName val="0"/>
          <c:showSerName val="0"/>
          <c:showPercent val="0"/>
          <c:showBubbleSize val="0"/>
        </c:dLbls>
        <c:gapWidth val="150"/>
        <c:axId val="397582336"/>
        <c:axId val="397582728"/>
      </c:barChart>
      <c:catAx>
        <c:axId val="3975823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7582728"/>
        <c:crosses val="autoZero"/>
        <c:auto val="1"/>
        <c:lblAlgn val="ctr"/>
        <c:lblOffset val="100"/>
        <c:noMultiLvlLbl val="0"/>
      </c:catAx>
      <c:valAx>
        <c:axId val="3975827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7582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整理!$C$165</c:f>
              <c:strCache>
                <c:ptCount val="1"/>
                <c:pt idx="0">
                  <c:v>比例</c:v>
                </c:pt>
              </c:strCache>
            </c:strRef>
          </c:tx>
          <c:spPr>
            <a:ln w="22225" cap="rnd">
              <a:solidFill>
                <a:schemeClr val="accent2"/>
              </a:solidFill>
              <a:round/>
            </a:ln>
            <a:effectLst/>
          </c:spPr>
          <c:marker>
            <c:symbol val="diamond"/>
            <c:size val="5"/>
            <c:spPr>
              <a:solidFill>
                <a:schemeClr val="lt1"/>
              </a:solidFill>
              <a:ln w="1587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dk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整理!$A$166:$A$170</c:f>
              <c:strCache>
                <c:ptCount val="5"/>
                <c:pt idx="0">
                  <c:v>0次</c:v>
                </c:pt>
                <c:pt idx="1">
                  <c:v>1次</c:v>
                </c:pt>
                <c:pt idx="2">
                  <c:v>2次</c:v>
                </c:pt>
                <c:pt idx="3">
                  <c:v>3次</c:v>
                </c:pt>
                <c:pt idx="4">
                  <c:v>4次</c:v>
                </c:pt>
              </c:strCache>
            </c:strRef>
          </c:cat>
          <c:val>
            <c:numRef>
              <c:f>整理!$C$166:$C$170</c:f>
              <c:numCache>
                <c:formatCode>0.00%</c:formatCode>
                <c:ptCount val="5"/>
                <c:pt idx="0">
                  <c:v>0.652930402930403</c:v>
                </c:pt>
                <c:pt idx="1">
                  <c:v>0.22985347985348</c:v>
                </c:pt>
                <c:pt idx="2">
                  <c:v>0.0906593406593407</c:v>
                </c:pt>
                <c:pt idx="3">
                  <c:v>0.021978021978022</c:v>
                </c:pt>
                <c:pt idx="4">
                  <c:v>0.00457875457875458</c:v>
                </c:pt>
              </c:numCache>
            </c:numRef>
          </c:val>
          <c:smooth val="0"/>
        </c:ser>
        <c:dLbls>
          <c:showLegendKey val="0"/>
          <c:showVal val="1"/>
          <c:showCatName val="0"/>
          <c:showSerName val="0"/>
          <c:showPercent val="0"/>
          <c:showBubbleSize val="0"/>
        </c:dLbls>
        <c:marker val="1"/>
        <c:smooth val="0"/>
        <c:axId val="397583512"/>
        <c:axId val="397583904"/>
      </c:lineChart>
      <c:catAx>
        <c:axId val="39758351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zh-CN" sz="900" b="0" i="0" u="none" strike="noStrike" kern="1200" cap="none" spc="0" normalizeH="0" baseline="0">
                <a:solidFill>
                  <a:schemeClr val="dk1">
                    <a:lumMod val="65000"/>
                    <a:lumOff val="35000"/>
                  </a:schemeClr>
                </a:solidFill>
                <a:latin typeface="+mn-lt"/>
                <a:ea typeface="+mn-ea"/>
                <a:cs typeface="+mn-cs"/>
              </a:defRPr>
            </a:pPr>
          </a:p>
        </c:txPr>
        <c:crossAx val="397583904"/>
        <c:crosses val="autoZero"/>
        <c:auto val="1"/>
        <c:lblAlgn val="ctr"/>
        <c:lblOffset val="100"/>
        <c:noMultiLvlLbl val="0"/>
      </c:catAx>
      <c:valAx>
        <c:axId val="397583904"/>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crossAx val="39758351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lang="zh-CN"/>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整理!$F$173</c:f>
              <c:strCache>
                <c:ptCount val="1"/>
                <c:pt idx="0">
                  <c:v>比例</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整理!$D$174:$D$181</c:f>
              <c:strCache>
                <c:ptCount val="8"/>
                <c:pt idx="0">
                  <c:v>与领导/同事关系不好</c:v>
                </c:pt>
                <c:pt idx="1">
                  <c:v>家庭原因</c:v>
                </c:pt>
                <c:pt idx="2">
                  <c:v>工作环境不好</c:v>
                </c:pt>
                <c:pt idx="3">
                  <c:v>其他</c:v>
                </c:pt>
                <c:pt idx="4">
                  <c:v>工作地域问题</c:v>
                </c:pt>
                <c:pt idx="5">
                  <c:v>工作压力大</c:v>
                </c:pt>
                <c:pt idx="6">
                  <c:v>薪资福利差</c:v>
                </c:pt>
                <c:pt idx="7">
                  <c:v>发展空间不大</c:v>
                </c:pt>
              </c:strCache>
            </c:strRef>
          </c:cat>
          <c:val>
            <c:numRef>
              <c:f>整理!$F$174:$F$181</c:f>
              <c:numCache>
                <c:formatCode>0.00%</c:formatCode>
                <c:ptCount val="8"/>
                <c:pt idx="0">
                  <c:v>0.0158311345646438</c:v>
                </c:pt>
                <c:pt idx="1">
                  <c:v>0.0343007915567282</c:v>
                </c:pt>
                <c:pt idx="2">
                  <c:v>0.0738786279683377</c:v>
                </c:pt>
                <c:pt idx="3">
                  <c:v>0.0923482849604222</c:v>
                </c:pt>
                <c:pt idx="4">
                  <c:v>0.100263852242744</c:v>
                </c:pt>
                <c:pt idx="5">
                  <c:v>0.145118733509235</c:v>
                </c:pt>
                <c:pt idx="6">
                  <c:v>0.20844327176781</c:v>
                </c:pt>
                <c:pt idx="7">
                  <c:v>0.329815303430079</c:v>
                </c:pt>
              </c:numCache>
            </c:numRef>
          </c:val>
        </c:ser>
        <c:dLbls>
          <c:showLegendKey val="0"/>
          <c:showVal val="1"/>
          <c:showCatName val="0"/>
          <c:showSerName val="0"/>
          <c:showPercent val="0"/>
          <c:showBubbleSize val="0"/>
        </c:dLbls>
        <c:gapWidth val="150"/>
        <c:axId val="397584688"/>
        <c:axId val="397585080"/>
      </c:barChart>
      <c:catAx>
        <c:axId val="3975846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7585080"/>
        <c:crosses val="autoZero"/>
        <c:auto val="1"/>
        <c:lblAlgn val="ctr"/>
        <c:lblOffset val="100"/>
        <c:noMultiLvlLbl val="0"/>
      </c:catAx>
      <c:valAx>
        <c:axId val="39758508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7584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dLbls>
            <c:dLbl>
              <c:idx val="0"/>
              <c:layout/>
              <c:tx>
                <c:rich>
                  <a:bodyPr rot="0" spcFirstLastPara="1" vertOverflow="ellipsis" vert="horz" wrap="square" lIns="38100" tIns="19050" rIns="38100" bIns="19050" anchor="ctr" anchorCtr="1"/>
                  <a:lstStyle/>
                  <a:p>
                    <a:fld id="{1796a53d-53bf-4438-bbe6-109b38f47200}" type="CELLRANGE">
                      <a:t>[CELLRANGE]</a:t>
                    </a:fld>
                    <a:r>
                      <a:t>,</a:t>
                    </a:r>
                    <a:fld id="{f2430c2c-8dff-44f1-8887-48fa3d86475a}" type="VALUE">
                      <a:t>[VALUE]</a:t>
                    </a:fld>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rot="0" spcFirstLastPara="1" vertOverflow="ellipsis" vert="horz" wrap="square" lIns="38100" tIns="19050" rIns="38100" bIns="19050" anchor="ctr" anchorCtr="1"/>
                  <a:lstStyle/>
                  <a:p>
                    <a:fld id="{c751134f-af2b-48a5-be0f-744e7601b3af}" type="CELLRANGE">
                      <a:t>[CELLRANGE]</a:t>
                    </a:fld>
                    <a:r>
                      <a:t>,</a:t>
                    </a:r>
                    <a:fld id="{bfcecb11-8de2-4aa1-8246-91e9018bfe3d}" type="VALUE">
                      <a:t>[VALUE]</a:t>
                    </a:fld>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lstStyle/>
                  <a:p>
                    <a:fld id="{1d84c25f-2151-44a7-99b1-7ba514c422bd}" type="CELLRANGE">
                      <a:t>[CELLRANGE]</a:t>
                    </a:fld>
                    <a:r>
                      <a:t>,</a:t>
                    </a:r>
                    <a:fld id="{a2884774-97d1-403d-9016-5958c2a407fc}" type="VALUE">
                      <a:t>[VALUE]</a:t>
                    </a:fld>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rot="0" spcFirstLastPara="1" vertOverflow="ellipsis" vert="horz" wrap="square" lIns="38100" tIns="19050" rIns="38100" bIns="19050" anchor="ctr" anchorCtr="1"/>
                  <a:lstStyle/>
                  <a:p>
                    <a:fld id="{49b8360a-f325-423b-b5c5-c9e086174cdf}" type="CELLRANGE">
                      <a:t>[CELLRANGE]</a:t>
                    </a:fld>
                    <a:r>
                      <a:t>,</a:t>
                    </a:r>
                    <a:fld id="{8e3cfd61-b3fa-4e3c-9553-28903a3c7b34}" type="VALUE">
                      <a:t>[VALUE]</a:t>
                    </a:fld>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rot="0" spcFirstLastPara="1" vertOverflow="ellipsis" vert="horz" wrap="square" lIns="38100" tIns="19050" rIns="38100" bIns="19050" anchor="ctr" anchorCtr="1"/>
                  <a:lstStyle/>
                  <a:p>
                    <a:fld id="{34166e47-0427-48ab-adb4-7d015f1611bd}" type="CELLRANGE">
                      <a:t>[CELLRANGE]</a:t>
                    </a:fld>
                    <a:r>
                      <a:t>,</a:t>
                    </a:r>
                    <a:fld id="{d8ff659e-127d-4d34-ac4b-def28f0bb849}" type="VALUE">
                      <a:t>[VALUE]</a:t>
                    </a:fld>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lstStyle/>
                  <a:p>
                    <a:fld id="{fb65f4d6-d963-4651-8ef3-3a6a74b0320f}" type="CELLRANGE">
                      <a:t>[CELLRANGE]</a:t>
                    </a:fld>
                    <a:r>
                      <a:t>,</a:t>
                    </a:r>
                    <a:fld id="{b1301d72-90c5-4dc2-a25b-74035be8fbee}" type="VALUE">
                      <a:t>[VALUE]</a:t>
                    </a:fld>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rot="0" spcFirstLastPara="1" vertOverflow="ellipsis" vert="horz" wrap="square" lIns="38100" tIns="19050" rIns="38100" bIns="19050" anchor="ctr" anchorCtr="1"/>
                  <a:lstStyle/>
                  <a:p>
                    <a:fld id="{a5a64b1d-8794-4ced-909a-94f4aecb7915}" type="CELLRANGE">
                      <a:t>[CELLRANGE]</a:t>
                    </a:fld>
                    <a:r>
                      <a:t>,</a:t>
                    </a:r>
                    <a:fld id="{9eb0e097-84cf-4c8b-8f62-e6105f3509af}" type="VALUE">
                      <a:t>[VALUE]</a:t>
                    </a:fld>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rot="0" spcFirstLastPara="1" vertOverflow="ellipsis" vert="horz" wrap="square" lIns="38100" tIns="19050" rIns="38100" bIns="19050" anchor="ctr" anchorCtr="1"/>
                  <a:lstStyle/>
                  <a:p>
                    <a:fld id="{a4043756-62d9-46a4-b940-b0009b897006}" type="CELLRANGE">
                      <a:t>[CELLRANGE]</a:t>
                    </a:fld>
                    <a:r>
                      <a:t>,</a:t>
                    </a:r>
                    <a:fld id="{e19bea76-beba-48ad-a99d-19de4b4c1cf5}" type="VALUE">
                      <a:t>[VALUE]</a:t>
                    </a:fld>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8"/>
              <c:layout/>
              <c:tx>
                <c:rich>
                  <a:bodyPr rot="0" spcFirstLastPara="1" vertOverflow="ellipsis" vert="horz" wrap="square" lIns="38100" tIns="19050" rIns="38100" bIns="19050" anchor="ctr" anchorCtr="1"/>
                  <a:lstStyle/>
                  <a:p>
                    <a:fld id="{bf9620df-4826-4d8e-b52a-a5a89eb0d3f4}" type="CELLRANGE">
                      <a:t>[CELLRANGE]</a:t>
                    </a:fld>
                    <a:r>
                      <a:t>,</a:t>
                    </a:r>
                    <a:fld id="{f40d36db-ccb8-4ff5-812c-f81d4a6f6da8}" type="VALUE">
                      <a:t>[VALUE]</a:t>
                    </a:fld>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9"/>
              <c:layout/>
              <c:tx>
                <c:rich>
                  <a:bodyPr rot="0" spcFirstLastPara="1" vertOverflow="ellipsis" vert="horz" wrap="square" lIns="38100" tIns="19050" rIns="38100" bIns="19050" anchor="ctr" anchorCtr="1"/>
                  <a:lstStyle/>
                  <a:p>
                    <a:fld id="{9580040f-3efc-4b0c-9601-646c53118a36}" type="CELLRANGE">
                      <a:t>[CELLRANGE]</a:t>
                    </a:fld>
                    <a:r>
                      <a:t>,</a:t>
                    </a:r>
                    <a:fld id="{da1d43b9-a9ca-4c17-b880-bf53d3228697}" type="VALUE">
                      <a:t>[VALUE]</a:t>
                    </a:fld>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0"/>
              <c:layout/>
              <c:tx>
                <c:rich>
                  <a:bodyPr rot="0" spcFirstLastPara="1" vertOverflow="ellipsis" vert="horz" wrap="square" lIns="38100" tIns="19050" rIns="38100" bIns="19050" anchor="ctr" anchorCtr="1"/>
                  <a:lstStyle/>
                  <a:p>
                    <a:fld id="{49ab08ab-94a1-40ac-aa79-730a153f1237}" type="CELLRANGE">
                      <a:t>[CELLRANGE]</a:t>
                    </a:fld>
                    <a:r>
                      <a:t>,</a:t>
                    </a:r>
                    <a:fld id="{e3424c4b-3ef5-4d83-9138-2f4d669e08a7}" type="VALUE">
                      <a:t>[VALUE]</a:t>
                    </a:fld>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1"/>
              <c:layout/>
              <c:tx>
                <c:rich>
                  <a:bodyPr rot="0" spcFirstLastPara="1" vertOverflow="ellipsis" vert="horz" wrap="square" lIns="38100" tIns="19050" rIns="38100" bIns="19050" anchor="ctr" anchorCtr="1"/>
                  <a:lstStyle/>
                  <a:p>
                    <a:fld id="{31c465ea-33d4-4a87-901e-4b3dfe9f4efb}" type="CELLRANGE">
                      <a:t>[CELLRANGE]</a:t>
                    </a:fld>
                    <a:r>
                      <a:t>,</a:t>
                    </a:r>
                    <a:fld id="{bdfa5798-590c-40cb-8e7d-29f8d281de1e}" type="VALUE">
                      <a:t>[VALUE]</a:t>
                    </a:fld>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2"/>
              <c:layout/>
              <c:tx>
                <c:rich>
                  <a:bodyPr rot="0" spcFirstLastPara="1" vertOverflow="ellipsis" vert="horz" wrap="square" lIns="38100" tIns="19050" rIns="38100" bIns="19050" anchor="ctr" anchorCtr="1"/>
                  <a:lstStyle/>
                  <a:p>
                    <a:fld id="{4b62dec2-48f9-4f3a-af03-8a5e58a2a961}" type="CELLRANGE">
                      <a:t>[CELLRANGE]</a:t>
                    </a:fld>
                    <a:r>
                      <a:t>,</a:t>
                    </a:r>
                    <a:fld id="{e4cf08ec-1ff5-4b2e-b6e7-a7bd26cc8bda}" type="VALUE">
                      <a:t>[VALUE]</a:t>
                    </a:fld>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Sheet2!$A$57:$A$69</c:f>
              <c:strCache>
                <c:ptCount val="13"/>
                <c:pt idx="0">
                  <c:v>公共管理学院</c:v>
                </c:pt>
                <c:pt idx="1">
                  <c:v>法学院</c:v>
                </c:pt>
                <c:pt idx="2">
                  <c:v>数学与统计学院</c:v>
                </c:pt>
                <c:pt idx="3">
                  <c:v>旅游管理学院</c:v>
                </c:pt>
                <c:pt idx="4">
                  <c:v>文学与新闻传播学院</c:v>
                </c:pt>
                <c:pt idx="5">
                  <c:v>外国语学院</c:v>
                </c:pt>
                <c:pt idx="6">
                  <c:v>国际教育学院（专科生）</c:v>
                </c:pt>
                <c:pt idx="7">
                  <c:v>经济与贸易学院</c:v>
                </c:pt>
                <c:pt idx="8">
                  <c:v>设计艺术学院</c:v>
                </c:pt>
                <c:pt idx="9">
                  <c:v>计算机与信息工程学院</c:v>
                </c:pt>
                <c:pt idx="10">
                  <c:v>工商管理学院</c:v>
                </c:pt>
                <c:pt idx="11">
                  <c:v>财政金融学院</c:v>
                </c:pt>
                <c:pt idx="12">
                  <c:v>会计学院</c:v>
                </c:pt>
              </c:strCache>
            </c:strRef>
          </c:cat>
          <c:val>
            <c:numRef>
              <c:f>Sheet2!$B$57:$B$69</c:f>
              <c:numCache>
                <c:formatCode>General</c:formatCode>
                <c:ptCount val="13"/>
                <c:pt idx="0">
                  <c:v>66</c:v>
                </c:pt>
                <c:pt idx="1">
                  <c:v>80</c:v>
                </c:pt>
                <c:pt idx="2">
                  <c:v>93</c:v>
                </c:pt>
                <c:pt idx="3">
                  <c:v>113</c:v>
                </c:pt>
                <c:pt idx="4">
                  <c:v>131</c:v>
                </c:pt>
                <c:pt idx="5">
                  <c:v>169</c:v>
                </c:pt>
                <c:pt idx="6">
                  <c:v>194</c:v>
                </c:pt>
                <c:pt idx="7">
                  <c:v>293</c:v>
                </c:pt>
                <c:pt idx="8">
                  <c:v>316</c:v>
                </c:pt>
                <c:pt idx="9">
                  <c:v>357</c:v>
                </c:pt>
                <c:pt idx="10">
                  <c:v>399</c:v>
                </c:pt>
                <c:pt idx="11">
                  <c:v>403</c:v>
                </c:pt>
                <c:pt idx="12">
                  <c:v>846</c:v>
                </c:pt>
              </c:numCache>
            </c:numRef>
          </c:val>
          <c:extLst>
            <c:ext xmlns:c15="http://schemas.microsoft.com/office/drawing/2012/chart" uri="{02D57815-91ED-43cb-92C2-25804820EDAC}">
              <c15:datalabelsRange>
                <c15:f>Sheet2!$C$57:$C$69</c15:f>
                <c15:dlblRangeCache>
                  <c:ptCount val="13"/>
                  <c:pt idx="0">
                    <c:v>1.91%</c:v>
                  </c:pt>
                  <c:pt idx="1">
                    <c:v>2.31%</c:v>
                  </c:pt>
                  <c:pt idx="2">
                    <c:v>2.69%</c:v>
                  </c:pt>
                  <c:pt idx="3">
                    <c:v>3.27%</c:v>
                  </c:pt>
                  <c:pt idx="4">
                    <c:v>3.79%</c:v>
                  </c:pt>
                  <c:pt idx="5">
                    <c:v>4.88%</c:v>
                  </c:pt>
                  <c:pt idx="6">
                    <c:v>5.61%</c:v>
                  </c:pt>
                  <c:pt idx="7">
                    <c:v>8.47%</c:v>
                  </c:pt>
                  <c:pt idx="8">
                    <c:v>9.13%</c:v>
                  </c:pt>
                  <c:pt idx="9">
                    <c:v>10.32%</c:v>
                  </c:pt>
                  <c:pt idx="10">
                    <c:v>11.53%</c:v>
                  </c:pt>
                  <c:pt idx="11">
                    <c:v>11.65%</c:v>
                  </c:pt>
                  <c:pt idx="12">
                    <c:v>24.45%</c:v>
                  </c:pt>
                </c15:dlblRangeCache>
              </c15:datalabelsRange>
            </c:ext>
          </c:extLst>
        </c:ser>
        <c:dLbls>
          <c:showLegendKey val="0"/>
          <c:showVal val="0"/>
          <c:showCatName val="0"/>
          <c:showSerName val="0"/>
          <c:showPercent val="0"/>
          <c:showBubbleSize val="0"/>
        </c:dLbls>
        <c:gapWidth val="182"/>
        <c:axId val="319581376"/>
        <c:axId val="319582160"/>
      </c:barChart>
      <c:catAx>
        <c:axId val="319581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9582160"/>
        <c:crosses val="autoZero"/>
        <c:auto val="1"/>
        <c:lblAlgn val="ctr"/>
        <c:lblOffset val="100"/>
        <c:noMultiLvlLbl val="0"/>
      </c:catAx>
      <c:valAx>
        <c:axId val="3195821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9581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dPt>
            <c:idx val="14"/>
            <c:invertIfNegative val="0"/>
            <c:bubble3D val="0"/>
            <c:spPr>
              <a:solidFill>
                <a:schemeClr val="accent1"/>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常规模型!$AP$7:$AP$21</c:f>
              <c:strCache>
                <c:ptCount val="15"/>
                <c:pt idx="0">
                  <c:v>薪资评价</c:v>
                </c:pt>
                <c:pt idx="1">
                  <c:v>工作与理想职业一致性</c:v>
                </c:pt>
                <c:pt idx="2">
                  <c:v>单位培训机会</c:v>
                </c:pt>
                <c:pt idx="3">
                  <c:v>福利和社会保障</c:v>
                </c:pt>
                <c:pt idx="4">
                  <c:v>单位在业界知名度</c:v>
                </c:pt>
                <c:pt idx="5">
                  <c:v>工作环境</c:v>
                </c:pt>
                <c:pt idx="6">
                  <c:v>加班评价</c:v>
                </c:pt>
                <c:pt idx="7">
                  <c:v>工作与专业相关度</c:v>
                </c:pt>
                <c:pt idx="8">
                  <c:v>单位的行业发展前景</c:v>
                </c:pt>
                <c:pt idx="9">
                  <c:v>工作单位前途</c:v>
                </c:pt>
                <c:pt idx="10">
                  <c:v>工作稳性</c:v>
                </c:pt>
                <c:pt idx="11">
                  <c:v>工作岗位晋升机制</c:v>
                </c:pt>
                <c:pt idx="12">
                  <c:v>工作岗位适应状态</c:v>
                </c:pt>
                <c:pt idx="13">
                  <c:v>工作岗位满意度</c:v>
                </c:pt>
                <c:pt idx="14">
                  <c:v>当前就业满意度</c:v>
                </c:pt>
              </c:strCache>
            </c:strRef>
          </c:cat>
          <c:val>
            <c:numRef>
              <c:f>常规模型!$AQ$7:$AQ$21</c:f>
              <c:numCache>
                <c:formatCode>0.000_);[Red]\(0.000\)</c:formatCode>
                <c:ptCount val="15"/>
                <c:pt idx="0">
                  <c:v>3.1868743047831</c:v>
                </c:pt>
                <c:pt idx="1">
                  <c:v>3.34816462736373</c:v>
                </c:pt>
                <c:pt idx="2">
                  <c:v>3.42157953281424</c:v>
                </c:pt>
                <c:pt idx="3">
                  <c:v>3.47830923248053</c:v>
                </c:pt>
                <c:pt idx="4">
                  <c:v>3.51724137931034</c:v>
                </c:pt>
                <c:pt idx="5">
                  <c:v>3.52391546162403</c:v>
                </c:pt>
                <c:pt idx="6">
                  <c:v>3.5817575083426</c:v>
                </c:pt>
                <c:pt idx="7">
                  <c:v>3.60400444938821</c:v>
                </c:pt>
                <c:pt idx="8">
                  <c:v>3.62402669632926</c:v>
                </c:pt>
                <c:pt idx="9">
                  <c:v>3.63515016685206</c:v>
                </c:pt>
                <c:pt idx="10">
                  <c:v>3.64182424916574</c:v>
                </c:pt>
                <c:pt idx="11">
                  <c:v>3.72636262513904</c:v>
                </c:pt>
                <c:pt idx="12">
                  <c:v>3.87875417130145</c:v>
                </c:pt>
                <c:pt idx="13">
                  <c:v>3.88765294771969</c:v>
                </c:pt>
                <c:pt idx="14">
                  <c:v>3.69966629588431</c:v>
                </c:pt>
              </c:numCache>
            </c:numRef>
          </c:val>
        </c:ser>
        <c:dLbls>
          <c:showLegendKey val="0"/>
          <c:showVal val="1"/>
          <c:showCatName val="0"/>
          <c:showSerName val="0"/>
          <c:showPercent val="0"/>
          <c:showBubbleSize val="0"/>
        </c:dLbls>
        <c:gapWidth val="182"/>
        <c:axId val="397585864"/>
        <c:axId val="397586256"/>
      </c:barChart>
      <c:catAx>
        <c:axId val="397585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7586256"/>
        <c:crosses val="autoZero"/>
        <c:auto val="1"/>
        <c:lblAlgn val="ctr"/>
        <c:lblOffset val="100"/>
        <c:noMultiLvlLbl val="0"/>
      </c:catAx>
      <c:valAx>
        <c:axId val="397586256"/>
        <c:scaling>
          <c:orientation val="minMax"/>
          <c:min val="3"/>
        </c:scaling>
        <c:delete val="0"/>
        <c:axPos val="b"/>
        <c:majorGridlines>
          <c:spPr>
            <a:ln w="9525" cap="flat" cmpd="sng" algn="ctr">
              <a:solidFill>
                <a:schemeClr val="tx1">
                  <a:lumMod val="15000"/>
                  <a:lumOff val="85000"/>
                </a:schemeClr>
              </a:solidFill>
              <a:round/>
            </a:ln>
            <a:effectLst/>
          </c:spPr>
        </c:majorGridlines>
        <c:numFmt formatCode="0.000_);[Red]\(0.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7585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常规模型!$AF$8:$AF$21</c:f>
              <c:strCache>
                <c:ptCount val="14"/>
                <c:pt idx="0">
                  <c:v>加班评价</c:v>
                </c:pt>
                <c:pt idx="1">
                  <c:v>工作与专业相关度</c:v>
                </c:pt>
                <c:pt idx="2">
                  <c:v>单位培训机会</c:v>
                </c:pt>
                <c:pt idx="3">
                  <c:v>薪资评价</c:v>
                </c:pt>
                <c:pt idx="4">
                  <c:v>单位在业界知名度</c:v>
                </c:pt>
                <c:pt idx="5">
                  <c:v>工作与理想职业一致性</c:v>
                </c:pt>
                <c:pt idx="6">
                  <c:v>福利和社会保障</c:v>
                </c:pt>
                <c:pt idx="7">
                  <c:v>工作岗位晋升机制</c:v>
                </c:pt>
                <c:pt idx="8">
                  <c:v>工作环境</c:v>
                </c:pt>
                <c:pt idx="9">
                  <c:v>工作稳性</c:v>
                </c:pt>
                <c:pt idx="10">
                  <c:v>单位的行业发展前景</c:v>
                </c:pt>
                <c:pt idx="11">
                  <c:v>工作单位前途</c:v>
                </c:pt>
                <c:pt idx="12">
                  <c:v>工作岗位满意度</c:v>
                </c:pt>
                <c:pt idx="13">
                  <c:v>工作岗位适应状态</c:v>
                </c:pt>
              </c:strCache>
            </c:strRef>
          </c:cat>
          <c:val>
            <c:numRef>
              <c:f>常规模型!$AG$8:$AG$21</c:f>
              <c:numCache>
                <c:formatCode>0.000_);[Red]\(0.000\)</c:formatCode>
                <c:ptCount val="14"/>
                <c:pt idx="0">
                  <c:v>0.101478712373591</c:v>
                </c:pt>
                <c:pt idx="1">
                  <c:v>0.0847173121933239</c:v>
                </c:pt>
                <c:pt idx="2">
                  <c:v>0.077814871004009</c:v>
                </c:pt>
                <c:pt idx="3">
                  <c:v>0.0759929728110582</c:v>
                </c:pt>
                <c:pt idx="4">
                  <c:v>0.0749968792829772</c:v>
                </c:pt>
                <c:pt idx="5">
                  <c:v>0.0744884631920327</c:v>
                </c:pt>
                <c:pt idx="6">
                  <c:v>0.0704429402753005</c:v>
                </c:pt>
                <c:pt idx="7">
                  <c:v>0.0691068040831653</c:v>
                </c:pt>
                <c:pt idx="8">
                  <c:v>0.0648443292725262</c:v>
                </c:pt>
                <c:pt idx="9">
                  <c:v>0.0647973245138798</c:v>
                </c:pt>
                <c:pt idx="10">
                  <c:v>0.064299699832825</c:v>
                </c:pt>
                <c:pt idx="11">
                  <c:v>0.0618211613455996</c:v>
                </c:pt>
                <c:pt idx="12">
                  <c:v>0.0602290894058645</c:v>
                </c:pt>
                <c:pt idx="13">
                  <c:v>0.0549694404138471</c:v>
                </c:pt>
              </c:numCache>
            </c:numRef>
          </c:val>
        </c:ser>
        <c:dLbls>
          <c:showLegendKey val="0"/>
          <c:showVal val="1"/>
          <c:showCatName val="0"/>
          <c:showSerName val="0"/>
          <c:showPercent val="0"/>
          <c:showBubbleSize val="0"/>
        </c:dLbls>
        <c:gapWidth val="219"/>
        <c:overlap val="-27"/>
        <c:axId val="397587040"/>
        <c:axId val="397587432"/>
      </c:barChart>
      <c:catAx>
        <c:axId val="39758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7587432"/>
        <c:crosses val="autoZero"/>
        <c:auto val="1"/>
        <c:lblAlgn val="ctr"/>
        <c:lblOffset val="100"/>
        <c:noMultiLvlLbl val="0"/>
      </c:catAx>
      <c:valAx>
        <c:axId val="397587432"/>
        <c:scaling>
          <c:orientation val="minMax"/>
          <c:min val="0.03"/>
        </c:scaling>
        <c:delete val="0"/>
        <c:axPos val="l"/>
        <c:majorGridlines>
          <c:spPr>
            <a:ln w="9525" cap="flat" cmpd="sng" algn="ctr">
              <a:solidFill>
                <a:schemeClr val="tx1">
                  <a:lumMod val="15000"/>
                  <a:lumOff val="85000"/>
                </a:schemeClr>
              </a:solidFill>
              <a:round/>
            </a:ln>
            <a:effectLst/>
          </c:spPr>
        </c:majorGridlines>
        <c:numFmt formatCode="0.000_);[Red]\(0.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7587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cap="rnd">
              <a:noFill/>
              <a:round/>
            </a:ln>
            <a:effectLst/>
          </c:spPr>
          <c:marker>
            <c:symbol val="circle"/>
            <c:size val="5"/>
            <c:spPr>
              <a:solidFill>
                <a:schemeClr val="accent2"/>
              </a:solidFill>
              <a:ln w="9525">
                <a:solidFill>
                  <a:schemeClr val="accent2"/>
                </a:solidFill>
              </a:ln>
              <a:effectLst/>
            </c:spPr>
          </c:marker>
          <c:dLbls>
            <c:dLbl>
              <c:idx val="0"/>
              <c:layout>
                <c:manualLayout>
                  <c:x val="-0.203480589022758"/>
                  <c:y val="0.0648756218905472"/>
                </c:manualLayout>
              </c:layout>
              <c:tx>
                <c:rich>
                  <a:bodyPr rot="0" spcFirstLastPara="1" vertOverflow="ellipsis" vert="horz" wrap="square" lIns="38100" tIns="19050" rIns="38100" bIns="19050" anchor="ctr" anchorCtr="1"/>
                  <a:lstStyle/>
                  <a:p>
                    <a:fld id="{8d85141c-dbcf-4572-bd88-3e86dca54e51}"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r"/>
              <c:showLegendKey val="0"/>
              <c:showVal val="0"/>
              <c:showCatName val="0"/>
              <c:showSerName val="0"/>
              <c:showPercent val="0"/>
              <c:showBubbleSize val="0"/>
              <c:extLst>
                <c:ext xmlns:c15="http://schemas.microsoft.com/office/drawing/2012/chart" uri="{CE6537A1-D6FC-4f65-9D91-7224C49458BB}">
                  <c15:layout>
                    <c:manualLayout>
                      <c:w val="0.136546184738956"/>
                      <c:h val="0.105074626865672"/>
                    </c:manualLayout>
                  </c15:layout>
                  <c15:dlblFieldTable/>
                  <c15:showDataLabelsRange val="1"/>
                </c:ext>
              </c:extLst>
            </c:dLbl>
            <c:dLbl>
              <c:idx val="1"/>
              <c:layout>
                <c:manualLayout>
                  <c:x val="-0.115127175368139"/>
                  <c:y val="-0.0624870920985623"/>
                </c:manualLayout>
              </c:layout>
              <c:tx>
                <c:rich>
                  <a:bodyPr rot="0" spcFirstLastPara="1" vertOverflow="ellipsis" vert="horz" wrap="square" lIns="38100" tIns="19050" rIns="38100" bIns="19050" anchor="ctr" anchorCtr="1">
                    <a:noAutofit/>
                  </a:bodyPr>
                  <a:lstStyle/>
                  <a:p>
                    <a:fld id="{b969d2f5-b4c7-4d3f-aa24-7932d3b9b092}" type="CELLRANGE">
                      <a:t>[CELLRANGE]</a:t>
                    </a:fld>
                    <a:endParaRPr lang="zh-CN" altLang="en-US" b="0" i="0" u="none" strike="noStrike" baseline="0">
                      <a:latin typeface="Times New Roman" panose="02020603050405020304" charset="0"/>
                      <a:ea typeface="Times New Roman" panose="02020603050405020304" charset="0"/>
                      <a:cs typeface="+mn-ea"/>
                    </a:endParaRPr>
                  </a:p>
                </c:rich>
              </c:tx>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0"/>
              <c:showCatName val="0"/>
              <c:showSerName val="0"/>
              <c:showPercent val="0"/>
              <c:showBubbleSize val="0"/>
              <c:extLst>
                <c:ext xmlns:c15="http://schemas.microsoft.com/office/drawing/2012/chart" uri="{CE6537A1-D6FC-4f65-9D91-7224C49458BB}">
                  <c15:layout>
                    <c:manualLayout>
                      <c:w val="0.211512717536814"/>
                      <c:h val="0.065273631840796"/>
                    </c:manualLayout>
                  </c15:layout>
                  <c15:dlblFieldTable/>
                  <c15:showDataLabelsRange val="1"/>
                </c:ext>
              </c:extLst>
            </c:dLbl>
            <c:dLbl>
              <c:idx val="2"/>
              <c:layout>
                <c:manualLayout>
                  <c:x val="-0.191432396251673"/>
                  <c:y val="-0.0471641791044776"/>
                </c:manualLayout>
              </c:layout>
              <c:tx>
                <c:rich>
                  <a:bodyPr rot="0" spcFirstLastPara="1" vertOverflow="ellipsis" vert="horz" wrap="square" lIns="38100" tIns="19050" rIns="38100" bIns="19050" anchor="ctr" anchorCtr="1"/>
                  <a:lstStyle/>
                  <a:p>
                    <a:fld id="{e3b95d19-72bf-4c37-b692-a9a262e01513}"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3"/>
              <c:layout>
                <c:manualLayout>
                  <c:x val="0"/>
                  <c:y val="-0.0398008383280448"/>
                </c:manualLayout>
              </c:layout>
              <c:tx>
                <c:rich>
                  <a:bodyPr rot="0" spcFirstLastPara="1" vertOverflow="ellipsis" vert="horz" wrap="square" lIns="38100" tIns="19050" rIns="38100" bIns="19050" anchor="ctr" anchorCtr="1">
                    <a:noAutofit/>
                  </a:bodyPr>
                  <a:lstStyle/>
                  <a:p>
                    <a:fld id="{833a84ec-a437-4b6e-9a70-650dc94cb1ca}" type="CELLRANGE">
                      <a:t>[CELLRANGE]</a:t>
                    </a:fld>
                    <a:endParaRPr lang="zh-CN" altLang="en-US" b="0" i="0" u="none" strike="noStrike" baseline="0">
                      <a:latin typeface="Times New Roman" panose="02020603050405020304" charset="0"/>
                      <a:ea typeface="Times New Roman" panose="02020603050405020304" charset="0"/>
                      <a:cs typeface="+mn-ea"/>
                    </a:endParaRPr>
                  </a:p>
                </c:rich>
              </c:tx>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0"/>
              <c:showCatName val="0"/>
              <c:showSerName val="0"/>
              <c:showPercent val="0"/>
              <c:showBubbleSize val="0"/>
              <c:extLst>
                <c:ext xmlns:c15="http://schemas.microsoft.com/office/drawing/2012/chart" uri="{CE6537A1-D6FC-4f65-9D91-7224C49458BB}">
                  <c15:layout>
                    <c:manualLayout>
                      <c:w val="0.240963855421687"/>
                      <c:h val="0.0533333333333333"/>
                    </c:manualLayout>
                  </c15:layout>
                  <c15:dlblFieldTable/>
                  <c15:showDataLabelsRange val="1"/>
                </c:ext>
              </c:extLst>
            </c:dLbl>
            <c:dLbl>
              <c:idx val="4"/>
              <c:layout>
                <c:manualLayout>
                  <c:x val="0.00267737617135207"/>
                  <c:y val="0.0159203980099502"/>
                </c:manualLayout>
              </c:layout>
              <c:tx>
                <c:rich>
                  <a:bodyPr rot="0" spcFirstLastPara="1" vertOverflow="ellipsis" vert="horz" wrap="square" lIns="38100" tIns="19050" rIns="38100" bIns="19050" anchor="ctr" anchorCtr="1">
                    <a:noAutofit/>
                  </a:bodyPr>
                  <a:lstStyle/>
                  <a:p>
                    <a:fld id="{2e6358df-58eb-4c52-9102-5395bf4eecdb}" type="CELLRANGE">
                      <a:t>[CELLRANGE]</a:t>
                    </a:fld>
                    <a:endParaRPr lang="zh-CN" altLang="en-US" b="0" i="0" u="none" strike="noStrike" baseline="0">
                      <a:latin typeface="Times New Roman" panose="02020603050405020304" charset="0"/>
                      <a:ea typeface="Times New Roman" panose="02020603050405020304" charset="0"/>
                      <a:cs typeface="+mn-ea"/>
                    </a:endParaRPr>
                  </a:p>
                </c:rich>
              </c:tx>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0"/>
              <c:showCatName val="0"/>
              <c:showSerName val="0"/>
              <c:showPercent val="0"/>
              <c:showBubbleSize val="0"/>
              <c:extLst>
                <c:ext xmlns:c15="http://schemas.microsoft.com/office/drawing/2012/chart" uri="{CE6537A1-D6FC-4f65-9D91-7224C49458BB}">
                  <c15:layout>
                    <c:manualLayout>
                      <c:w val="0.257028112449799"/>
                      <c:h val="0.0612935323383085"/>
                    </c:manualLayout>
                  </c15:layout>
                  <c15:dlblFieldTable/>
                  <c15:showDataLabelsRange val="1"/>
                </c:ext>
              </c:extLst>
            </c:dLbl>
            <c:dLbl>
              <c:idx val="5"/>
              <c:layout/>
              <c:tx>
                <c:rich>
                  <a:bodyPr rot="0" spcFirstLastPara="1" vertOverflow="ellipsis" vert="horz" wrap="square" lIns="38100" tIns="19050" rIns="38100" bIns="19050" anchor="ctr" anchorCtr="1"/>
                  <a:lstStyle/>
                  <a:p>
                    <a:fld id="{542d48f1-66f5-48f7-9c80-ab2b16361b57}"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manualLayout>
                  <c:x val="-0.15528781793842"/>
                  <c:y val="0.122786069651741"/>
                </c:manualLayout>
              </c:layout>
              <c:tx>
                <c:rich>
                  <a:bodyPr rot="0" spcFirstLastPara="1" vertOverflow="ellipsis" vert="horz" wrap="square" lIns="38100" tIns="19050" rIns="38100" bIns="19050" anchor="ctr" anchorCtr="1"/>
                  <a:lstStyle/>
                  <a:p>
                    <a:fld id="{aaa1a43a-708e-4b2f-9fc7-6a7af8a1b1c3}"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7"/>
              <c:layout>
                <c:manualLayout>
                  <c:x val="-0.14190093708166"/>
                  <c:y val="0.0756218905472637"/>
                </c:manualLayout>
              </c:layout>
              <c:tx>
                <c:rich>
                  <a:bodyPr rot="0" spcFirstLastPara="1" vertOverflow="ellipsis" vert="horz" wrap="square" lIns="38100" tIns="19050" rIns="38100" bIns="19050" anchor="ctr" anchorCtr="1"/>
                  <a:lstStyle/>
                  <a:p>
                    <a:fld id="{cc54cbd7-e500-4958-a769-e41937c919f6}"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8"/>
              <c:layout>
                <c:manualLayout>
                  <c:x val="-0.0843373493975904"/>
                  <c:y val="-0.0750248756218905"/>
                </c:manualLayout>
              </c:layout>
              <c:tx>
                <c:rich>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zh-CN" altLang="en-US"/>
                      <a:t>工作稳定性</a:t>
                    </a:r>
                    <a:endParaRPr lang="zh-CN" altLang="en-US"/>
                  </a:p>
                </c:rich>
              </c:tx>
              <c:dLblPos val="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9"/>
              <c:layout>
                <c:manualLayout>
                  <c:x val="-9.81693255558168e-17"/>
                  <c:y val="-0.027860696517413"/>
                </c:manualLayout>
              </c:layout>
              <c:tx>
                <c:rich>
                  <a:bodyPr rot="0" spcFirstLastPara="1" vertOverflow="ellipsis" vert="horz" wrap="square" lIns="38100" tIns="19050" rIns="38100" bIns="19050" anchor="ctr" anchorCtr="1"/>
                  <a:lstStyle/>
                  <a:p>
                    <a:fld id="{535884c8-cabd-45db-9ec4-23b5e1f03c0f}"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10"/>
              <c:layout/>
              <c:tx>
                <c:rich>
                  <a:bodyPr rot="0" spcFirstLastPara="1" vertOverflow="ellipsis" vert="horz" wrap="square" lIns="38100" tIns="19050" rIns="38100" bIns="19050" anchor="ctr" anchorCtr="1"/>
                  <a:lstStyle/>
                  <a:p>
                    <a:fld id="{36ad2769-09ab-408d-b212-083ba84f0279}"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b"/>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1"/>
              <c:layout/>
              <c:tx>
                <c:rich>
                  <a:bodyPr rot="0" spcFirstLastPara="1" vertOverflow="ellipsis" vert="horz" wrap="square" lIns="38100" tIns="19050" rIns="38100" bIns="19050" anchor="ctr" anchorCtr="1"/>
                  <a:lstStyle/>
                  <a:p>
                    <a:fld id="{575a3c59-8b1b-497c-a97f-3bd1217b7052}"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2"/>
              <c:layout/>
              <c:tx>
                <c:rich>
                  <a:bodyPr rot="0" spcFirstLastPara="1" vertOverflow="ellipsis" horzOverflow="clip" vert="horz" wrap="square" lIns="38100" tIns="19050" rIns="38100" bIns="19050" anchor="ctr" anchorCtr="1">
                    <a:noAutofit/>
                  </a:bodyPr>
                  <a:lstStyle/>
                  <a:p>
                    <a:fld id="{52fee485-d691-4a86-8db5-82ce78cf7842}" type="CELLRANGE">
                      <a:t>[CELLRANGE]</a:t>
                    </a:fld>
                    <a:endParaRPr lang="zh-CN" altLang="en-US" b="0" i="0" u="none" strike="noStrike" baseline="0">
                      <a:latin typeface="Times New Roman" panose="02020603050405020304" charset="0"/>
                      <a:ea typeface="Times New Roman" panose="02020603050405020304" charset="0"/>
                      <a:cs typeface="+mn-ea"/>
                    </a:endParaRPr>
                  </a:p>
                </c:rich>
              </c:tx>
              <c:numFmt formatCode="General" sourceLinked="1"/>
              <c:spPr>
                <a:noFill/>
                <a:ln>
                  <a:noFill/>
                </a:ln>
                <a:effectLst/>
              </c:spPr>
              <c:txPr>
                <a:bodyPr rot="0" spcFirstLastPara="1" vertOverflow="ellipsis" horzOverflow="clip"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dLblPos val="b"/>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3"/>
              <c:layout/>
              <c:tx>
                <c:rich>
                  <a:bodyPr rot="0" spcFirstLastPara="1" vertOverflow="ellipsis" horzOverflow="clip" vert="horz" wrap="square" lIns="38100" tIns="19050" rIns="38100" bIns="19050" anchor="ctr" anchorCtr="1">
                    <a:noAutofit/>
                  </a:bodyPr>
                  <a:lstStyle/>
                  <a:p>
                    <a:fld id="{133d1fea-0b07-4216-be29-c40cc67275b7}" type="CELLRANGE">
                      <a:t>[CELLRANGE]</a:t>
                    </a:fld>
                    <a:endParaRPr lang="zh-CN" altLang="en-US" b="0" i="0" u="none" strike="noStrike" baseline="0">
                      <a:latin typeface="Times New Roman" panose="02020603050405020304" charset="0"/>
                      <a:ea typeface="Times New Roman" panose="02020603050405020304" charset="0"/>
                      <a:cs typeface="+mn-ea"/>
                    </a:endParaRPr>
                  </a:p>
                </c:rich>
              </c:tx>
              <c:numFmt formatCode="General" sourceLinked="1"/>
              <c:spPr>
                <a:noFill/>
                <a:ln>
                  <a:noFill/>
                </a:ln>
                <a:effectLst/>
              </c:spPr>
              <c:txPr>
                <a:bodyPr rot="0" spcFirstLastPara="1" vertOverflow="ellipsis" horzOverflow="clip"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xVal>
            <c:numRef>
              <c:f>常规模型!$T$8:$T$21</c:f>
              <c:numCache>
                <c:formatCode>0.000_);[Red]\(0.000\)</c:formatCode>
                <c:ptCount val="14"/>
                <c:pt idx="0">
                  <c:v>0.064299699832825</c:v>
                </c:pt>
                <c:pt idx="1">
                  <c:v>0.0749968792829772</c:v>
                </c:pt>
                <c:pt idx="2">
                  <c:v>0.0618211613455996</c:v>
                </c:pt>
                <c:pt idx="3">
                  <c:v>0.0847173121933239</c:v>
                </c:pt>
                <c:pt idx="4">
                  <c:v>0.0744884631920327</c:v>
                </c:pt>
                <c:pt idx="5">
                  <c:v>0.0759929728110582</c:v>
                </c:pt>
                <c:pt idx="6">
                  <c:v>0.0704429402753005</c:v>
                </c:pt>
                <c:pt idx="7">
                  <c:v>0.0648443292725262</c:v>
                </c:pt>
                <c:pt idx="8">
                  <c:v>0.0647973245138798</c:v>
                </c:pt>
                <c:pt idx="9">
                  <c:v>0.077814871004009</c:v>
                </c:pt>
                <c:pt idx="10">
                  <c:v>0.101478712373591</c:v>
                </c:pt>
                <c:pt idx="11">
                  <c:v>0.0602290894058645</c:v>
                </c:pt>
                <c:pt idx="12">
                  <c:v>0.0549694404138471</c:v>
                </c:pt>
                <c:pt idx="13">
                  <c:v>0.0691068040831653</c:v>
                </c:pt>
              </c:numCache>
            </c:numRef>
          </c:xVal>
          <c:yVal>
            <c:numRef>
              <c:f>常规模型!$U$8:$U$21</c:f>
              <c:numCache>
                <c:formatCode>0.000_);[Red]\(0.000\)</c:formatCode>
                <c:ptCount val="14"/>
                <c:pt idx="0">
                  <c:v>3.62402669632926</c:v>
                </c:pt>
                <c:pt idx="1">
                  <c:v>3.51724137931034</c:v>
                </c:pt>
                <c:pt idx="2">
                  <c:v>3.63515016685206</c:v>
                </c:pt>
                <c:pt idx="3">
                  <c:v>3.60400444938821</c:v>
                </c:pt>
                <c:pt idx="4">
                  <c:v>3.34816462736373</c:v>
                </c:pt>
                <c:pt idx="5">
                  <c:v>3.1868743047831</c:v>
                </c:pt>
                <c:pt idx="6">
                  <c:v>3.47830923248053</c:v>
                </c:pt>
                <c:pt idx="7">
                  <c:v>3.52391546162403</c:v>
                </c:pt>
                <c:pt idx="8">
                  <c:v>3.64182424916574</c:v>
                </c:pt>
                <c:pt idx="9">
                  <c:v>3.42157953281424</c:v>
                </c:pt>
                <c:pt idx="10">
                  <c:v>3.5817575083426</c:v>
                </c:pt>
                <c:pt idx="11">
                  <c:v>3.88765294771969</c:v>
                </c:pt>
                <c:pt idx="12">
                  <c:v>3.87875417130145</c:v>
                </c:pt>
                <c:pt idx="13">
                  <c:v>3.72636262513904</c:v>
                </c:pt>
              </c:numCache>
            </c:numRef>
          </c:yVal>
          <c:smooth val="0"/>
          <c:extLst>
            <c:ext xmlns:c15="http://schemas.microsoft.com/office/drawing/2012/chart" uri="{02D57815-91ED-43cb-92C2-25804820EDAC}">
              <c15:datalabelsRange>
                <c15:f>常规模型!$S$8:$S$21</c15:f>
                <c15:dlblRangeCache>
                  <c:ptCount val="14"/>
                  <c:pt idx="0">
                    <c:v>单位的行业发展前景</c:v>
                  </c:pt>
                  <c:pt idx="1">
                    <c:v>单位在业界知名度</c:v>
                  </c:pt>
                  <c:pt idx="2">
                    <c:v>工作单位前途</c:v>
                  </c:pt>
                  <c:pt idx="3">
                    <c:v>工作与专业相关度</c:v>
                  </c:pt>
                  <c:pt idx="4">
                    <c:v>工作与理想职业一致性</c:v>
                  </c:pt>
                  <c:pt idx="5">
                    <c:v>薪资评价</c:v>
                  </c:pt>
                  <c:pt idx="6">
                    <c:v>福利和社会保障</c:v>
                  </c:pt>
                  <c:pt idx="7">
                    <c:v>工作环境</c:v>
                  </c:pt>
                  <c:pt idx="8">
                    <c:v>工作稳性</c:v>
                  </c:pt>
                  <c:pt idx="9">
                    <c:v>单位培训机会</c:v>
                  </c:pt>
                  <c:pt idx="10">
                    <c:v>加班评价</c:v>
                  </c:pt>
                  <c:pt idx="11">
                    <c:v>工作岗位满意度</c:v>
                  </c:pt>
                  <c:pt idx="12">
                    <c:v>工作岗位适应状态</c:v>
                  </c:pt>
                  <c:pt idx="13">
                    <c:v>工作岗位晋升机制</c:v>
                  </c:pt>
                </c15:dlblRangeCache>
              </c15:datalabelsRange>
            </c:ext>
          </c:extLst>
        </c:ser>
        <c:dLbls>
          <c:showLegendKey val="0"/>
          <c:showVal val="0"/>
          <c:showCatName val="0"/>
          <c:showSerName val="0"/>
          <c:showPercent val="0"/>
          <c:showBubbleSize val="0"/>
        </c:dLbls>
        <c:axId val="397588216"/>
        <c:axId val="397588608"/>
      </c:scatterChart>
      <c:valAx>
        <c:axId val="397588216"/>
        <c:scaling>
          <c:orientation val="minMax"/>
          <c:min val="0.0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重要度</a:t>
                </a:r>
                <a:endParaRPr lang="zh-CN" altLang="en-US"/>
              </a:p>
            </c:rich>
          </c:tx>
          <c:layout/>
          <c:overlay val="0"/>
          <c:spPr>
            <a:noFill/>
            <a:ln>
              <a:noFill/>
            </a:ln>
            <a:effectLst/>
          </c:spPr>
        </c:title>
        <c:numFmt formatCode="0.000_);[Red]\(0.000\)" sourceLinked="1"/>
        <c:majorTickMark val="none"/>
        <c:minorTickMark val="none"/>
        <c:tickLblPos val="low"/>
        <c:spPr>
          <a:noFill/>
          <a:ln w="15875" cap="flat" cmpd="sng" algn="ctr">
            <a:solidFill>
              <a:srgbClr val="C00000"/>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7588608"/>
        <c:crossesAt val="3.575"/>
        <c:crossBetween val="midCat"/>
      </c:valAx>
      <c:valAx>
        <c:axId val="397588608"/>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满意度</a:t>
                </a:r>
                <a:endParaRPr lang="zh-CN" altLang="en-US"/>
              </a:p>
            </c:rich>
          </c:tx>
          <c:layout/>
          <c:overlay val="0"/>
          <c:spPr>
            <a:noFill/>
            <a:ln>
              <a:noFill/>
            </a:ln>
            <a:effectLst/>
          </c:spPr>
        </c:title>
        <c:numFmt formatCode="0.000_);[Red]\(0.000\)" sourceLinked="1"/>
        <c:majorTickMark val="none"/>
        <c:minorTickMark val="none"/>
        <c:tickLblPos val="low"/>
        <c:spPr>
          <a:noFill/>
          <a:ln w="15875" cap="flat" cmpd="sng" algn="ctr">
            <a:solidFill>
              <a:srgbClr val="C00000"/>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7588216"/>
        <c:crossesAt val="0.071"/>
        <c:crossBetween val="midCat"/>
      </c:valAx>
      <c:spPr>
        <a:noFill/>
        <a:ln>
          <a:noFill/>
        </a:ln>
        <a:effectLst/>
      </c:spPr>
    </c:plotArea>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整理!$B$185</c:f>
              <c:strCache>
                <c:ptCount val="1"/>
                <c:pt idx="0">
                  <c:v>频数</c:v>
                </c:pt>
              </c:strCache>
            </c:strRef>
          </c:tx>
          <c:spPr/>
          <c:explosion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整理!$A$186:$A$189</c:f>
              <c:strCache>
                <c:ptCount val="4"/>
                <c:pt idx="0">
                  <c:v>实现个人理想及价值</c:v>
                </c:pt>
                <c:pt idx="1">
                  <c:v>受他人邀请创业</c:v>
                </c:pt>
                <c:pt idx="2">
                  <c:v>未找到合适的工作</c:v>
                </c:pt>
                <c:pt idx="3">
                  <c:v>有好的创业项目</c:v>
                </c:pt>
              </c:strCache>
            </c:strRef>
          </c:cat>
          <c:val>
            <c:numRef>
              <c:f>整理!$B$186:$B$189</c:f>
              <c:numCache>
                <c:formatCode>General</c:formatCode>
                <c:ptCount val="4"/>
                <c:pt idx="0">
                  <c:v>19</c:v>
                </c:pt>
                <c:pt idx="1">
                  <c:v>11</c:v>
                </c:pt>
                <c:pt idx="2">
                  <c:v>2</c:v>
                </c:pt>
                <c:pt idx="3">
                  <c:v>19</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zh-CN"/>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整理!$F$192</c:f>
              <c:strCache>
                <c:ptCount val="1"/>
                <c:pt idx="0">
                  <c:v>比例</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整理!$D$193:$D$210</c:f>
              <c:strCache>
                <c:ptCount val="18"/>
                <c:pt idx="0">
                  <c:v>房地产业</c:v>
                </c:pt>
                <c:pt idx="1">
                  <c:v>金融业</c:v>
                </c:pt>
                <c:pt idx="2">
                  <c:v>居民服务、修理和其它服务业</c:v>
                </c:pt>
                <c:pt idx="3">
                  <c:v>科学研究和技术服务业</c:v>
                </c:pt>
                <c:pt idx="4">
                  <c:v>水利、环境和公共设施管理业</c:v>
                </c:pt>
                <c:pt idx="5">
                  <c:v>卫生和社会工作</c:v>
                </c:pt>
                <c:pt idx="6">
                  <c:v>租赁和商务服务业</c:v>
                </c:pt>
                <c:pt idx="7">
                  <c:v>建筑业</c:v>
                </c:pt>
                <c:pt idx="8">
                  <c:v>文化、体育和娱乐业</c:v>
                </c:pt>
                <c:pt idx="9">
                  <c:v>住宿和餐饮业</c:v>
                </c:pt>
                <c:pt idx="10">
                  <c:v>教育</c:v>
                </c:pt>
                <c:pt idx="11">
                  <c:v>农、林、牧、渔业</c:v>
                </c:pt>
                <c:pt idx="12">
                  <c:v>采矿业</c:v>
                </c:pt>
                <c:pt idx="13">
                  <c:v>交通运输、仓储和邮政业</c:v>
                </c:pt>
                <c:pt idx="14">
                  <c:v>制造业</c:v>
                </c:pt>
                <c:pt idx="15">
                  <c:v>电力、热力、燃气及水生产和供应业</c:v>
                </c:pt>
                <c:pt idx="16">
                  <c:v>信息传输、软件和信息技术服务业</c:v>
                </c:pt>
                <c:pt idx="17">
                  <c:v>批发和零售业</c:v>
                </c:pt>
              </c:strCache>
            </c:strRef>
          </c:cat>
          <c:val>
            <c:numRef>
              <c:f>整理!$F$193:$F$210</c:f>
              <c:numCache>
                <c:formatCode>0.00%</c:formatCode>
                <c:ptCount val="18"/>
                <c:pt idx="0">
                  <c:v>0.0196078431372549</c:v>
                </c:pt>
                <c:pt idx="1">
                  <c:v>0.0196078431372549</c:v>
                </c:pt>
                <c:pt idx="2">
                  <c:v>0.0196078431372549</c:v>
                </c:pt>
                <c:pt idx="3">
                  <c:v>0.0196078431372549</c:v>
                </c:pt>
                <c:pt idx="4">
                  <c:v>0.0196078431372549</c:v>
                </c:pt>
                <c:pt idx="5">
                  <c:v>0.0196078431372549</c:v>
                </c:pt>
                <c:pt idx="6">
                  <c:v>0.0196078431372549</c:v>
                </c:pt>
                <c:pt idx="7">
                  <c:v>0.0392156862745098</c:v>
                </c:pt>
                <c:pt idx="8">
                  <c:v>0.0392156862745098</c:v>
                </c:pt>
                <c:pt idx="9">
                  <c:v>0.0392156862745098</c:v>
                </c:pt>
                <c:pt idx="10">
                  <c:v>0.0588235294117647</c:v>
                </c:pt>
                <c:pt idx="11">
                  <c:v>0.0588235294117647</c:v>
                </c:pt>
                <c:pt idx="12">
                  <c:v>0.0784313725490196</c:v>
                </c:pt>
                <c:pt idx="13">
                  <c:v>0.0784313725490196</c:v>
                </c:pt>
                <c:pt idx="14">
                  <c:v>0.0784313725490196</c:v>
                </c:pt>
                <c:pt idx="15">
                  <c:v>0.0980392156862745</c:v>
                </c:pt>
                <c:pt idx="16">
                  <c:v>0.137254901960784</c:v>
                </c:pt>
                <c:pt idx="17">
                  <c:v>0.156862745098039</c:v>
                </c:pt>
              </c:numCache>
            </c:numRef>
          </c:val>
        </c:ser>
        <c:dLbls>
          <c:showLegendKey val="0"/>
          <c:showVal val="1"/>
          <c:showCatName val="0"/>
          <c:showSerName val="0"/>
          <c:showPercent val="0"/>
          <c:showBubbleSize val="0"/>
        </c:dLbls>
        <c:gapWidth val="150"/>
        <c:axId val="606619864"/>
        <c:axId val="606620256"/>
      </c:barChart>
      <c:catAx>
        <c:axId val="6066198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6620256"/>
        <c:crosses val="autoZero"/>
        <c:auto val="1"/>
        <c:lblAlgn val="ctr"/>
        <c:lblOffset val="100"/>
        <c:noMultiLvlLbl val="0"/>
      </c:catAx>
      <c:valAx>
        <c:axId val="60662025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6619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整理!$B$213</c:f>
              <c:strCache>
                <c:ptCount val="1"/>
                <c:pt idx="0">
                  <c:v>频数</c:v>
                </c:pt>
              </c:strCache>
            </c:strRef>
          </c:tx>
          <c:spPr/>
          <c:explosion val="0"/>
          <c:dPt>
            <c:idx val="0"/>
            <c:bubble3D val="0"/>
            <c:spPr>
              <a:solidFill>
                <a:schemeClr val="accent2"/>
              </a:solidFill>
              <a:ln w="19050">
                <a:solidFill>
                  <a:schemeClr val="lt1"/>
                </a:solidFill>
              </a:ln>
              <a:effectLst/>
            </c:spPr>
          </c:dPt>
          <c:dPt>
            <c:idx val="1"/>
            <c:bubble3D val="0"/>
            <c:spPr>
              <a:solidFill>
                <a:schemeClr val="accent4"/>
              </a:solidFill>
              <a:ln w="19050">
                <a:solidFill>
                  <a:schemeClr val="lt1"/>
                </a:solidFill>
              </a:ln>
              <a:effectLst/>
            </c:spPr>
          </c:dPt>
          <c:dPt>
            <c:idx val="2"/>
            <c:bubble3D val="0"/>
            <c:spPr>
              <a:solidFill>
                <a:schemeClr val="accent6"/>
              </a:solidFill>
              <a:ln w="19050">
                <a:solidFill>
                  <a:schemeClr val="lt1"/>
                </a:solidFill>
              </a:ln>
              <a:effectLst/>
            </c:spPr>
          </c:dPt>
          <c:dPt>
            <c:idx val="3"/>
            <c:bubble3D val="0"/>
            <c:spPr>
              <a:solidFill>
                <a:schemeClr val="accent2">
                  <a:lumMod val="60000"/>
                </a:schemeClr>
              </a:solidFill>
              <a:ln w="19050">
                <a:solidFill>
                  <a:schemeClr val="lt1"/>
                </a:solidFill>
              </a:ln>
              <a:effectLst/>
            </c:spPr>
          </c:dPt>
          <c:dPt>
            <c:idx val="4"/>
            <c:bubble3D val="0"/>
            <c:spPr>
              <a:solidFill>
                <a:schemeClr val="accent4">
                  <a:lumMod val="60000"/>
                </a:schemeClr>
              </a:solidFill>
              <a:ln w="19050">
                <a:solidFill>
                  <a:schemeClr val="lt1"/>
                </a:solidFill>
              </a:ln>
              <a:effectLst/>
            </c:spPr>
          </c:dPt>
          <c:dLbls>
            <c:dLbl>
              <c:idx val="0"/>
              <c:layout>
                <c:manualLayout>
                  <c:x val="0.115004492362983"/>
                  <c:y val="-0.0632411067193676"/>
                </c:manualLayout>
              </c:layou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115004492362983"/>
                  <c:y val="0.0790513833992094"/>
                </c:manualLayout>
              </c:layou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10062893081761"/>
                  <c:y val="0.0737812911725955"/>
                </c:manualLayout>
              </c:layou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10062893081761"/>
                  <c:y val="0.0158102766798418"/>
                </c:manualLayout>
              </c:layou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0718778077268643"/>
                  <c:y val="-0.100131752305665"/>
                </c:manualLayout>
              </c:layou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整理!$A$214:$A$218</c:f>
              <c:strCache>
                <c:ptCount val="5"/>
                <c:pt idx="0">
                  <c:v>创业扶持基金</c:v>
                </c:pt>
                <c:pt idx="1">
                  <c:v>大学生创业贷款</c:v>
                </c:pt>
                <c:pt idx="2">
                  <c:v>风险投资</c:v>
                </c:pt>
                <c:pt idx="3">
                  <c:v>父母资助</c:v>
                </c:pt>
                <c:pt idx="4">
                  <c:v>其他</c:v>
                </c:pt>
              </c:strCache>
            </c:strRef>
          </c:cat>
          <c:val>
            <c:numRef>
              <c:f>整理!$B$214:$B$218</c:f>
              <c:numCache>
                <c:formatCode>General</c:formatCode>
                <c:ptCount val="5"/>
                <c:pt idx="0">
                  <c:v>9</c:v>
                </c:pt>
                <c:pt idx="1">
                  <c:v>18</c:v>
                </c:pt>
                <c:pt idx="2">
                  <c:v>5</c:v>
                </c:pt>
                <c:pt idx="3">
                  <c:v>11</c:v>
                </c:pt>
                <c:pt idx="4">
                  <c:v>8</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整理!$F$221</c:f>
              <c:strCache>
                <c:ptCount val="1"/>
                <c:pt idx="0">
                  <c:v>比例</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整理!$D$222:$D$230</c:f>
              <c:strCache>
                <c:ptCount val="9"/>
                <c:pt idx="0">
                  <c:v>社会关系缺乏</c:v>
                </c:pt>
                <c:pt idx="1">
                  <c:v>资金的筹备</c:v>
                </c:pt>
                <c:pt idx="2">
                  <c:v>创业团队组建</c:v>
                </c:pt>
                <c:pt idx="3">
                  <c:v>产品服务的营销推广</c:v>
                </c:pt>
                <c:pt idx="4">
                  <c:v>企业创办手续审批</c:v>
                </c:pt>
                <c:pt idx="5">
                  <c:v>办公场所等软硬件环境的准备</c:v>
                </c:pt>
                <c:pt idx="6">
                  <c:v>创业项目的选取</c:v>
                </c:pt>
                <c:pt idx="7">
                  <c:v>政策环境不利</c:v>
                </c:pt>
                <c:pt idx="8">
                  <c:v>其他</c:v>
                </c:pt>
              </c:strCache>
            </c:strRef>
          </c:cat>
          <c:val>
            <c:numRef>
              <c:f>整理!$F$222:$F$230</c:f>
              <c:numCache>
                <c:formatCode>0.00%</c:formatCode>
                <c:ptCount val="9"/>
                <c:pt idx="0">
                  <c:v>0.183006535947712</c:v>
                </c:pt>
                <c:pt idx="1">
                  <c:v>0.150326797385621</c:v>
                </c:pt>
                <c:pt idx="2">
                  <c:v>0.137254901960784</c:v>
                </c:pt>
                <c:pt idx="3">
                  <c:v>0.130718954248366</c:v>
                </c:pt>
                <c:pt idx="4">
                  <c:v>0.124183006535948</c:v>
                </c:pt>
                <c:pt idx="5">
                  <c:v>0.117647058823529</c:v>
                </c:pt>
                <c:pt idx="6">
                  <c:v>0.0915032679738562</c:v>
                </c:pt>
                <c:pt idx="7">
                  <c:v>0.0392156862745098</c:v>
                </c:pt>
                <c:pt idx="8">
                  <c:v>0.0261437908496732</c:v>
                </c:pt>
              </c:numCache>
            </c:numRef>
          </c:val>
        </c:ser>
        <c:dLbls>
          <c:showLegendKey val="0"/>
          <c:showVal val="1"/>
          <c:showCatName val="0"/>
          <c:showSerName val="0"/>
          <c:showPercent val="0"/>
          <c:showBubbleSize val="0"/>
        </c:dLbls>
        <c:gapWidth val="150"/>
        <c:axId val="606621432"/>
        <c:axId val="606621824"/>
      </c:barChart>
      <c:catAx>
        <c:axId val="6066214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6621824"/>
        <c:crosses val="autoZero"/>
        <c:auto val="1"/>
        <c:lblAlgn val="ctr"/>
        <c:lblOffset val="100"/>
        <c:noMultiLvlLbl val="0"/>
      </c:catAx>
      <c:valAx>
        <c:axId val="6066218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6621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整理!$E$241</c:f>
              <c:strCache>
                <c:ptCount val="1"/>
                <c:pt idx="0">
                  <c:v>提升综合能力</c:v>
                </c:pt>
              </c:strCache>
            </c:strRef>
          </c:tx>
          <c:spPr>
            <a:solidFill>
              <a:schemeClr val="accent2"/>
            </a:solidFill>
            <a:ln>
              <a:noFill/>
            </a:ln>
            <a:effectLst/>
          </c:spPr>
          <c:invertIfNegative val="0"/>
          <c:dLbls>
            <c:delete val="1"/>
          </c:dLbls>
          <c:cat>
            <c:strRef>
              <c:f>整理!$F$240:$H$240</c:f>
              <c:strCache>
                <c:ptCount val="3"/>
                <c:pt idx="0">
                  <c:v>本科生毕业</c:v>
                </c:pt>
                <c:pt idx="1">
                  <c:v>专科生毕业</c:v>
                </c:pt>
                <c:pt idx="2">
                  <c:v>总体</c:v>
                </c:pt>
              </c:strCache>
            </c:strRef>
          </c:cat>
          <c:val>
            <c:numRef>
              <c:f>整理!$F$241:$H$241</c:f>
              <c:numCache>
                <c:formatCode>0.00%</c:formatCode>
                <c:ptCount val="3"/>
                <c:pt idx="0">
                  <c:v>0.649484536082474</c:v>
                </c:pt>
                <c:pt idx="1">
                  <c:v>0.804878048780488</c:v>
                </c:pt>
                <c:pt idx="2">
                  <c:v>0.676595744680851</c:v>
                </c:pt>
              </c:numCache>
            </c:numRef>
          </c:val>
        </c:ser>
        <c:ser>
          <c:idx val="1"/>
          <c:order val="1"/>
          <c:tx>
            <c:strRef>
              <c:f>整理!$E$242</c:f>
              <c:strCache>
                <c:ptCount val="1"/>
                <c:pt idx="0">
                  <c:v>对专业感兴趣</c:v>
                </c:pt>
              </c:strCache>
            </c:strRef>
          </c:tx>
          <c:spPr>
            <a:solidFill>
              <a:schemeClr val="accent4"/>
            </a:solidFill>
            <a:ln>
              <a:noFill/>
            </a:ln>
            <a:effectLst/>
          </c:spPr>
          <c:invertIfNegative val="0"/>
          <c:dLbls>
            <c:delete val="1"/>
          </c:dLbls>
          <c:cat>
            <c:strRef>
              <c:f>整理!$F$240:$H$240</c:f>
              <c:strCache>
                <c:ptCount val="3"/>
                <c:pt idx="0">
                  <c:v>本科生毕业</c:v>
                </c:pt>
                <c:pt idx="1">
                  <c:v>专科生毕业</c:v>
                </c:pt>
                <c:pt idx="2">
                  <c:v>总体</c:v>
                </c:pt>
              </c:strCache>
            </c:strRef>
          </c:cat>
          <c:val>
            <c:numRef>
              <c:f>整理!$F$242:$H$242</c:f>
              <c:numCache>
                <c:formatCode>0.00%</c:formatCode>
                <c:ptCount val="3"/>
                <c:pt idx="0">
                  <c:v>0.154639175257732</c:v>
                </c:pt>
                <c:pt idx="1">
                  <c:v>0.0975609756097561</c:v>
                </c:pt>
                <c:pt idx="2">
                  <c:v>0.14468085106383</c:v>
                </c:pt>
              </c:numCache>
            </c:numRef>
          </c:val>
        </c:ser>
        <c:ser>
          <c:idx val="2"/>
          <c:order val="2"/>
          <c:tx>
            <c:strRef>
              <c:f>整理!$E$243</c:f>
              <c:strCache>
                <c:ptCount val="1"/>
                <c:pt idx="0">
                  <c:v>延缓就业压力</c:v>
                </c:pt>
              </c:strCache>
            </c:strRef>
          </c:tx>
          <c:spPr>
            <a:solidFill>
              <a:schemeClr val="accent6"/>
            </a:solidFill>
            <a:ln>
              <a:noFill/>
            </a:ln>
            <a:effectLst/>
          </c:spPr>
          <c:invertIfNegative val="0"/>
          <c:dLbls>
            <c:delete val="1"/>
          </c:dLbls>
          <c:cat>
            <c:strRef>
              <c:f>整理!$F$240:$H$240</c:f>
              <c:strCache>
                <c:ptCount val="3"/>
                <c:pt idx="0">
                  <c:v>本科生毕业</c:v>
                </c:pt>
                <c:pt idx="1">
                  <c:v>专科生毕业</c:v>
                </c:pt>
                <c:pt idx="2">
                  <c:v>总体</c:v>
                </c:pt>
              </c:strCache>
            </c:strRef>
          </c:cat>
          <c:val>
            <c:numRef>
              <c:f>整理!$F$243:$H$243</c:f>
              <c:numCache>
                <c:formatCode>0.00%</c:formatCode>
                <c:ptCount val="3"/>
                <c:pt idx="0">
                  <c:v>0.15979381443299</c:v>
                </c:pt>
                <c:pt idx="1">
                  <c:v>0.0487804878048781</c:v>
                </c:pt>
                <c:pt idx="2">
                  <c:v>0.140425531914894</c:v>
                </c:pt>
              </c:numCache>
            </c:numRef>
          </c:val>
        </c:ser>
        <c:ser>
          <c:idx val="3"/>
          <c:order val="3"/>
          <c:tx>
            <c:strRef>
              <c:f>整理!$E$244</c:f>
              <c:strCache>
                <c:ptCount val="1"/>
                <c:pt idx="0">
                  <c:v>其他</c:v>
                </c:pt>
              </c:strCache>
            </c:strRef>
          </c:tx>
          <c:spPr>
            <a:solidFill>
              <a:schemeClr val="accent2">
                <a:lumMod val="60000"/>
              </a:schemeClr>
            </a:solidFill>
            <a:ln>
              <a:noFill/>
            </a:ln>
            <a:effectLst/>
          </c:spPr>
          <c:invertIfNegative val="0"/>
          <c:dLbls>
            <c:delete val="1"/>
          </c:dLbls>
          <c:cat>
            <c:strRef>
              <c:f>整理!$F$240:$H$240</c:f>
              <c:strCache>
                <c:ptCount val="3"/>
                <c:pt idx="0">
                  <c:v>本科生毕业</c:v>
                </c:pt>
                <c:pt idx="1">
                  <c:v>专科生毕业</c:v>
                </c:pt>
                <c:pt idx="2">
                  <c:v>总体</c:v>
                </c:pt>
              </c:strCache>
            </c:strRef>
          </c:cat>
          <c:val>
            <c:numRef>
              <c:f>整理!$F$244:$H$244</c:f>
              <c:numCache>
                <c:formatCode>0.00%</c:formatCode>
                <c:ptCount val="3"/>
                <c:pt idx="0">
                  <c:v>0.0360824742268041</c:v>
                </c:pt>
                <c:pt idx="1">
                  <c:v>0.0487804878048781</c:v>
                </c:pt>
                <c:pt idx="2">
                  <c:v>0.0382978723404255</c:v>
                </c:pt>
              </c:numCache>
            </c:numRef>
          </c:val>
        </c:ser>
        <c:dLbls>
          <c:showLegendKey val="0"/>
          <c:showVal val="0"/>
          <c:showCatName val="0"/>
          <c:showSerName val="0"/>
          <c:showPercent val="0"/>
          <c:showBubbleSize val="0"/>
        </c:dLbls>
        <c:gapWidth val="150"/>
        <c:overlap val="100"/>
        <c:axId val="606622608"/>
        <c:axId val="606623000"/>
      </c:barChart>
      <c:catAx>
        <c:axId val="606622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6623000"/>
        <c:crosses val="autoZero"/>
        <c:auto val="1"/>
        <c:lblAlgn val="ctr"/>
        <c:lblOffset val="100"/>
        <c:noMultiLvlLbl val="0"/>
      </c:catAx>
      <c:valAx>
        <c:axId val="606623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66226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整理!$B$253</c:f>
              <c:strCache>
                <c:ptCount val="1"/>
                <c:pt idx="0">
                  <c:v>本科生毕业</c:v>
                </c:pt>
              </c:strCache>
            </c:strRef>
          </c:tx>
          <c:spPr>
            <a:solidFill>
              <a:schemeClr val="accent2"/>
            </a:solidFill>
            <a:ln>
              <a:noFill/>
            </a:ln>
            <a:effectLst/>
            <a:sp3d/>
          </c:spPr>
          <c:invertIfNegative val="0"/>
          <c:dLbls>
            <c:delete val="1"/>
          </c:dLbls>
          <c:cat>
            <c:strRef>
              <c:f>整理!$A$254:$A$257</c:f>
              <c:strCache>
                <c:ptCount val="4"/>
                <c:pt idx="0">
                  <c:v>出国（境）继续深造</c:v>
                </c:pt>
                <c:pt idx="1">
                  <c:v>出国（境）实习或工作</c:v>
                </c:pt>
                <c:pt idx="2">
                  <c:v>国内继续深造</c:v>
                </c:pt>
                <c:pt idx="3">
                  <c:v>其他</c:v>
                </c:pt>
              </c:strCache>
            </c:strRef>
          </c:cat>
          <c:val>
            <c:numRef>
              <c:f>整理!$B$254:$B$257</c:f>
              <c:numCache>
                <c:formatCode>0.00%</c:formatCode>
                <c:ptCount val="4"/>
                <c:pt idx="0">
                  <c:v>0.298969072164948</c:v>
                </c:pt>
                <c:pt idx="1">
                  <c:v>0.0515463917525773</c:v>
                </c:pt>
                <c:pt idx="2">
                  <c:v>0.644329896907217</c:v>
                </c:pt>
                <c:pt idx="3">
                  <c:v>0.00515463917525773</c:v>
                </c:pt>
              </c:numCache>
            </c:numRef>
          </c:val>
        </c:ser>
        <c:ser>
          <c:idx val="1"/>
          <c:order val="1"/>
          <c:tx>
            <c:strRef>
              <c:f>整理!$C$253</c:f>
              <c:strCache>
                <c:ptCount val="1"/>
                <c:pt idx="0">
                  <c:v>专科生毕业</c:v>
                </c:pt>
              </c:strCache>
            </c:strRef>
          </c:tx>
          <c:spPr>
            <a:solidFill>
              <a:schemeClr val="accent4"/>
            </a:solidFill>
            <a:ln>
              <a:noFill/>
            </a:ln>
            <a:effectLst/>
            <a:sp3d/>
          </c:spPr>
          <c:invertIfNegative val="0"/>
          <c:dLbls>
            <c:delete val="1"/>
          </c:dLbls>
          <c:cat>
            <c:strRef>
              <c:f>整理!$A$254:$A$257</c:f>
              <c:strCache>
                <c:ptCount val="4"/>
                <c:pt idx="0">
                  <c:v>出国（境）继续深造</c:v>
                </c:pt>
                <c:pt idx="1">
                  <c:v>出国（境）实习或工作</c:v>
                </c:pt>
                <c:pt idx="2">
                  <c:v>国内继续深造</c:v>
                </c:pt>
                <c:pt idx="3">
                  <c:v>其他</c:v>
                </c:pt>
              </c:strCache>
            </c:strRef>
          </c:cat>
          <c:val>
            <c:numRef>
              <c:f>整理!$C$254:$C$257</c:f>
              <c:numCache>
                <c:formatCode>0.00%</c:formatCode>
                <c:ptCount val="4"/>
                <c:pt idx="0">
                  <c:v>0.51219512195122</c:v>
                </c:pt>
                <c:pt idx="1">
                  <c:v>0.024390243902439</c:v>
                </c:pt>
                <c:pt idx="2">
                  <c:v>0.439024390243902</c:v>
                </c:pt>
                <c:pt idx="3">
                  <c:v>0.024390243902439</c:v>
                </c:pt>
              </c:numCache>
            </c:numRef>
          </c:val>
        </c:ser>
        <c:ser>
          <c:idx val="2"/>
          <c:order val="2"/>
          <c:tx>
            <c:strRef>
              <c:f>整理!$D$253</c:f>
              <c:strCache>
                <c:ptCount val="1"/>
                <c:pt idx="0">
                  <c:v>总计</c:v>
                </c:pt>
              </c:strCache>
            </c:strRef>
          </c:tx>
          <c:spPr>
            <a:solidFill>
              <a:schemeClr val="accent6"/>
            </a:solidFill>
            <a:ln>
              <a:noFill/>
            </a:ln>
            <a:effectLst/>
            <a:sp3d/>
          </c:spPr>
          <c:invertIfNegative val="0"/>
          <c:dLbls>
            <c:delete val="1"/>
          </c:dLbls>
          <c:cat>
            <c:strRef>
              <c:f>整理!$A$254:$A$257</c:f>
              <c:strCache>
                <c:ptCount val="4"/>
                <c:pt idx="0">
                  <c:v>出国（境）继续深造</c:v>
                </c:pt>
                <c:pt idx="1">
                  <c:v>出国（境）实习或工作</c:v>
                </c:pt>
                <c:pt idx="2">
                  <c:v>国内继续深造</c:v>
                </c:pt>
                <c:pt idx="3">
                  <c:v>其他</c:v>
                </c:pt>
              </c:strCache>
            </c:strRef>
          </c:cat>
          <c:val>
            <c:numRef>
              <c:f>整理!$D$254:$D$257</c:f>
              <c:numCache>
                <c:formatCode>0.00%</c:formatCode>
                <c:ptCount val="4"/>
                <c:pt idx="0">
                  <c:v>0.336170212765957</c:v>
                </c:pt>
                <c:pt idx="1">
                  <c:v>0.0468085106382979</c:v>
                </c:pt>
                <c:pt idx="2">
                  <c:v>0.608510638297872</c:v>
                </c:pt>
                <c:pt idx="3">
                  <c:v>0.00851063829787234</c:v>
                </c:pt>
              </c:numCache>
            </c:numRef>
          </c:val>
        </c:ser>
        <c:dLbls>
          <c:showLegendKey val="0"/>
          <c:showVal val="0"/>
          <c:showCatName val="0"/>
          <c:showSerName val="0"/>
          <c:showPercent val="0"/>
          <c:showBubbleSize val="0"/>
        </c:dLbls>
        <c:gapWidth val="150"/>
        <c:axId val="606624176"/>
        <c:axId val="606624568"/>
      </c:barChart>
      <c:catAx>
        <c:axId val="6066241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6624568"/>
        <c:crosses val="autoZero"/>
        <c:auto val="1"/>
        <c:lblAlgn val="ctr"/>
        <c:lblOffset val="100"/>
        <c:noMultiLvlLbl val="0"/>
      </c:catAx>
      <c:valAx>
        <c:axId val="6066245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662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整理!$F$273</c:f>
              <c:strCache>
                <c:ptCount val="1"/>
                <c:pt idx="0">
                  <c:v>比例</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整理!$D$274:$D$282</c:f>
              <c:strCache>
                <c:ptCount val="9"/>
                <c:pt idx="0">
                  <c:v>与父母意愿相悖</c:v>
                </c:pt>
                <c:pt idx="1">
                  <c:v>其他</c:v>
                </c:pt>
                <c:pt idx="2">
                  <c:v>存在就业歧视</c:v>
                </c:pt>
                <c:pt idx="3">
                  <c:v>获取招聘信息的渠道太少</c:v>
                </c:pt>
                <c:pt idx="4">
                  <c:v>就业能力不足</c:v>
                </c:pt>
                <c:pt idx="5">
                  <c:v>社会关系缺乏</c:v>
                </c:pt>
                <c:pt idx="6">
                  <c:v>用人单位待遇和条件不符合预期</c:v>
                </c:pt>
                <c:pt idx="7">
                  <c:v>适合自己专业和学历的岗位不多</c:v>
                </c:pt>
                <c:pt idx="8">
                  <c:v>缺乏实践经验</c:v>
                </c:pt>
              </c:strCache>
            </c:strRef>
          </c:cat>
          <c:val>
            <c:numRef>
              <c:f>整理!$F$274:$F$282</c:f>
              <c:numCache>
                <c:formatCode>0.00%</c:formatCode>
                <c:ptCount val="9"/>
                <c:pt idx="0">
                  <c:v>0.0243572395128552</c:v>
                </c:pt>
                <c:pt idx="1">
                  <c:v>0.0288678394226432</c:v>
                </c:pt>
                <c:pt idx="2">
                  <c:v>0.0509697789806044</c:v>
                </c:pt>
                <c:pt idx="3">
                  <c:v>0.0978800180423996</c:v>
                </c:pt>
                <c:pt idx="4">
                  <c:v>0.105548037889039</c:v>
                </c:pt>
                <c:pt idx="5">
                  <c:v>0.10915651781687</c:v>
                </c:pt>
                <c:pt idx="6">
                  <c:v>0.173207036535859</c:v>
                </c:pt>
                <c:pt idx="7">
                  <c:v>0.177266576454668</c:v>
                </c:pt>
                <c:pt idx="8">
                  <c:v>0.232746955345061</c:v>
                </c:pt>
              </c:numCache>
            </c:numRef>
          </c:val>
        </c:ser>
        <c:dLbls>
          <c:showLegendKey val="0"/>
          <c:showVal val="1"/>
          <c:showCatName val="0"/>
          <c:showSerName val="0"/>
          <c:showPercent val="0"/>
          <c:showBubbleSize val="0"/>
        </c:dLbls>
        <c:gapWidth val="150"/>
        <c:axId val="606625744"/>
        <c:axId val="606626136"/>
      </c:barChart>
      <c:catAx>
        <c:axId val="6066257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6626136"/>
        <c:crosses val="autoZero"/>
        <c:auto val="1"/>
        <c:lblAlgn val="ctr"/>
        <c:lblOffset val="100"/>
        <c:noMultiLvlLbl val="0"/>
      </c:catAx>
      <c:valAx>
        <c:axId val="60662613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6625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Sheet2!$B$202</c:f>
              <c:strCache>
                <c:ptCount val="1"/>
                <c:pt idx="0">
                  <c:v>毕业生人数</c:v>
                </c:pt>
              </c:strCache>
            </c:strRef>
          </c:tx>
          <c:spPr>
            <a:solidFill>
              <a:schemeClr val="accent6">
                <a:lumMod val="60000"/>
                <a:lumOff val="40000"/>
              </a:schemeClr>
            </a:solidFill>
            <a:ln>
              <a:noFill/>
            </a:ln>
            <a:effectLst/>
          </c:spPr>
          <c:invertIfNegative val="0"/>
          <c:dLbls>
            <c:delete val="1"/>
          </c:dLbls>
          <c:cat>
            <c:strRef>
              <c:f>Sheet2!$A$203:$A$205</c:f>
              <c:strCache>
                <c:ptCount val="3"/>
                <c:pt idx="0">
                  <c:v>男性毕业生</c:v>
                </c:pt>
                <c:pt idx="1">
                  <c:v>女性毕业生</c:v>
                </c:pt>
                <c:pt idx="2">
                  <c:v>合计</c:v>
                </c:pt>
              </c:strCache>
            </c:strRef>
          </c:cat>
          <c:val>
            <c:numRef>
              <c:f>Sheet2!$B$203:$B$205</c:f>
              <c:numCache>
                <c:formatCode>General</c:formatCode>
                <c:ptCount val="3"/>
                <c:pt idx="0">
                  <c:v>1062</c:v>
                </c:pt>
                <c:pt idx="1">
                  <c:v>2398</c:v>
                </c:pt>
                <c:pt idx="2">
                  <c:v>3460</c:v>
                </c:pt>
              </c:numCache>
            </c:numRef>
          </c:val>
        </c:ser>
        <c:ser>
          <c:idx val="1"/>
          <c:order val="1"/>
          <c:tx>
            <c:strRef>
              <c:f>Sheet2!$C$202</c:f>
              <c:strCache>
                <c:ptCount val="1"/>
                <c:pt idx="0">
                  <c:v>已就业人数</c:v>
                </c:pt>
              </c:strCache>
            </c:strRef>
          </c:tx>
          <c:spPr>
            <a:solidFill>
              <a:srgbClr val="FFC000"/>
            </a:solidFill>
            <a:ln>
              <a:noFill/>
            </a:ln>
            <a:effectLst/>
          </c:spPr>
          <c:invertIfNegative val="0"/>
          <c:dLbls>
            <c:delete val="1"/>
          </c:dLbls>
          <c:cat>
            <c:strRef>
              <c:f>Sheet2!$A$203:$A$205</c:f>
              <c:strCache>
                <c:ptCount val="3"/>
                <c:pt idx="0">
                  <c:v>男性毕业生</c:v>
                </c:pt>
                <c:pt idx="1">
                  <c:v>女性毕业生</c:v>
                </c:pt>
                <c:pt idx="2">
                  <c:v>合计</c:v>
                </c:pt>
              </c:strCache>
            </c:strRef>
          </c:cat>
          <c:val>
            <c:numRef>
              <c:f>Sheet2!$C$203:$C$205</c:f>
              <c:numCache>
                <c:formatCode>General</c:formatCode>
                <c:ptCount val="3"/>
                <c:pt idx="0">
                  <c:v>971</c:v>
                </c:pt>
                <c:pt idx="1">
                  <c:v>2221</c:v>
                </c:pt>
                <c:pt idx="2">
                  <c:v>3192</c:v>
                </c:pt>
              </c:numCache>
            </c:numRef>
          </c:val>
        </c:ser>
        <c:dLbls>
          <c:showLegendKey val="0"/>
          <c:showVal val="0"/>
          <c:showCatName val="0"/>
          <c:showSerName val="0"/>
          <c:showPercent val="0"/>
          <c:showBubbleSize val="0"/>
        </c:dLbls>
        <c:gapWidth val="150"/>
        <c:axId val="319580592"/>
        <c:axId val="319582552"/>
      </c:barChart>
      <c:lineChart>
        <c:grouping val="standard"/>
        <c:varyColors val="0"/>
        <c:ser>
          <c:idx val="2"/>
          <c:order val="2"/>
          <c:tx>
            <c:strRef>
              <c:f>Sheet2!$D$202</c:f>
              <c:strCache>
                <c:ptCount val="1"/>
                <c:pt idx="0">
                  <c:v>就业率</c:v>
                </c:pt>
              </c:strCache>
            </c:strRef>
          </c:tx>
          <c:spPr>
            <a:ln w="28575" cap="rnd">
              <a:solidFill>
                <a:schemeClr val="accent5">
                  <a:lumMod val="60000"/>
                  <a:lumOff val="40000"/>
                </a:schemeClr>
              </a:solidFill>
              <a:round/>
            </a:ln>
            <a:effectLst/>
          </c:spPr>
          <c:marker>
            <c:symbol val="diamond"/>
            <c:size val="5"/>
            <c:spPr>
              <a:solidFill>
                <a:schemeClr val="accent5">
                  <a:lumMod val="60000"/>
                  <a:lumOff val="40000"/>
                </a:schemeClr>
              </a:solidFill>
              <a:ln w="9525">
                <a:solidFill>
                  <a:schemeClr val="accent5">
                    <a:lumMod val="60000"/>
                    <a:lumOff val="40000"/>
                  </a:schemeClr>
                </a:solidFill>
              </a:ln>
              <a:effectLst/>
            </c:spPr>
          </c:marker>
          <c:dLbls>
            <c:delete val="1"/>
          </c:dLbls>
          <c:cat>
            <c:strRef>
              <c:f>Sheet2!$A$203:$A$205</c:f>
              <c:strCache>
                <c:ptCount val="3"/>
                <c:pt idx="0">
                  <c:v>男性毕业生</c:v>
                </c:pt>
                <c:pt idx="1">
                  <c:v>女性毕业生</c:v>
                </c:pt>
                <c:pt idx="2">
                  <c:v>合计</c:v>
                </c:pt>
              </c:strCache>
            </c:strRef>
          </c:cat>
          <c:val>
            <c:numRef>
              <c:f>Sheet2!$D$203:$D$205</c:f>
              <c:numCache>
                <c:formatCode>0.00%</c:formatCode>
                <c:ptCount val="3"/>
                <c:pt idx="0">
                  <c:v>0.914312617702448</c:v>
                </c:pt>
                <c:pt idx="1">
                  <c:v>0.926188490408674</c:v>
                </c:pt>
                <c:pt idx="2">
                  <c:v>0.922543352601156</c:v>
                </c:pt>
              </c:numCache>
            </c:numRef>
          </c:val>
          <c:smooth val="0"/>
        </c:ser>
        <c:dLbls>
          <c:showLegendKey val="0"/>
          <c:showVal val="0"/>
          <c:showCatName val="0"/>
          <c:showSerName val="0"/>
          <c:showPercent val="0"/>
          <c:showBubbleSize val="0"/>
        </c:dLbls>
        <c:marker val="1"/>
        <c:smooth val="0"/>
        <c:axId val="319583336"/>
        <c:axId val="319582944"/>
      </c:lineChart>
      <c:catAx>
        <c:axId val="31958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9582552"/>
        <c:crosses val="autoZero"/>
        <c:auto val="1"/>
        <c:lblAlgn val="ctr"/>
        <c:lblOffset val="100"/>
        <c:noMultiLvlLbl val="0"/>
      </c:catAx>
      <c:valAx>
        <c:axId val="319582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9580592"/>
        <c:crosses val="autoZero"/>
        <c:crossBetween val="between"/>
      </c:valAx>
      <c:catAx>
        <c:axId val="319583336"/>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9582944"/>
        <c:crosses val="autoZero"/>
        <c:auto val="1"/>
        <c:lblAlgn val="ctr"/>
        <c:lblOffset val="100"/>
        <c:noMultiLvlLbl val="0"/>
      </c:catAx>
      <c:valAx>
        <c:axId val="319582944"/>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9583336"/>
        <c:crosses val="max"/>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Sheet5!$A$13:$A$19</c:f>
              <c:strCache>
                <c:ptCount val="7"/>
                <c:pt idx="0">
                  <c:v>在准备出国</c:v>
                </c:pt>
                <c:pt idx="1">
                  <c:v>准备创业</c:v>
                </c:pt>
                <c:pt idx="2">
                  <c:v>暂时不就业</c:v>
                </c:pt>
                <c:pt idx="3">
                  <c:v>在准备升学考试</c:v>
                </c:pt>
                <c:pt idx="4">
                  <c:v>在等待单位签约</c:v>
                </c:pt>
                <c:pt idx="5">
                  <c:v>在准备公务员、事业单位招考</c:v>
                </c:pt>
                <c:pt idx="6">
                  <c:v>正在择业尚未落实就业单位</c:v>
                </c:pt>
              </c:strCache>
            </c:strRef>
          </c:cat>
          <c:val>
            <c:numRef>
              <c:f>Sheet5!$B$13:$B$19</c:f>
              <c:numCache>
                <c:formatCode>0.00%</c:formatCode>
                <c:ptCount val="7"/>
                <c:pt idx="0">
                  <c:v>0.0081190798376184</c:v>
                </c:pt>
                <c:pt idx="1">
                  <c:v>0.0121786197564276</c:v>
                </c:pt>
                <c:pt idx="2">
                  <c:v>0.0365358592692828</c:v>
                </c:pt>
                <c:pt idx="3">
                  <c:v>0.060893098782138</c:v>
                </c:pt>
                <c:pt idx="4">
                  <c:v>0.148849797023004</c:v>
                </c:pt>
                <c:pt idx="5">
                  <c:v>0.244925575101488</c:v>
                </c:pt>
                <c:pt idx="6">
                  <c:v>0.488497970230041</c:v>
                </c:pt>
              </c:numCache>
            </c:numRef>
          </c:val>
        </c:ser>
        <c:dLbls>
          <c:showLegendKey val="0"/>
          <c:showVal val="0"/>
          <c:showCatName val="0"/>
          <c:showSerName val="0"/>
          <c:showPercent val="0"/>
          <c:showBubbleSize val="0"/>
        </c:dLbls>
        <c:gapWidth val="150"/>
        <c:axId val="606626920"/>
        <c:axId val="606627312"/>
      </c:barChart>
      <c:catAx>
        <c:axId val="6066269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6627312"/>
        <c:crosses val="autoZero"/>
        <c:auto val="1"/>
        <c:lblAlgn val="ctr"/>
        <c:lblOffset val="100"/>
        <c:noMultiLvlLbl val="0"/>
      </c:catAx>
      <c:valAx>
        <c:axId val="60662731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6626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整理!$B$315</c:f>
              <c:strCache>
                <c:ptCount val="1"/>
                <c:pt idx="0">
                  <c:v>本科生毕业</c:v>
                </c:pt>
              </c:strCache>
            </c:strRef>
          </c:tx>
          <c:spPr>
            <a:solidFill>
              <a:schemeClr val="accent2"/>
            </a:solidFill>
            <a:ln>
              <a:noFill/>
            </a:ln>
            <a:effectLst/>
          </c:spPr>
          <c:invertIfNegative val="0"/>
          <c:dLbls>
            <c:delete val="1"/>
          </c:dLbls>
          <c:cat>
            <c:strRef>
              <c:f>整理!$A$316:$A$324</c:f>
              <c:strCache>
                <c:ptCount val="9"/>
                <c:pt idx="0">
                  <c:v>其它事业单位</c:v>
                </c:pt>
                <c:pt idx="1">
                  <c:v>国有企业</c:v>
                </c:pt>
                <c:pt idx="2">
                  <c:v>政府机关</c:v>
                </c:pt>
                <c:pt idx="3">
                  <c:v>外资企业</c:v>
                </c:pt>
                <c:pt idx="4">
                  <c:v>社会组织</c:v>
                </c:pt>
                <c:pt idx="5">
                  <c:v>国营企业</c:v>
                </c:pt>
                <c:pt idx="6">
                  <c:v>学校</c:v>
                </c:pt>
                <c:pt idx="7">
                  <c:v>自主创业</c:v>
                </c:pt>
                <c:pt idx="8">
                  <c:v>出国</c:v>
                </c:pt>
              </c:strCache>
            </c:strRef>
          </c:cat>
          <c:val>
            <c:numRef>
              <c:f>整理!$B$316:$B$324</c:f>
              <c:numCache>
                <c:formatCode>0.00%</c:formatCode>
                <c:ptCount val="9"/>
                <c:pt idx="0">
                  <c:v>0.273743016759777</c:v>
                </c:pt>
                <c:pt idx="1">
                  <c:v>0.184357541899441</c:v>
                </c:pt>
                <c:pt idx="2">
                  <c:v>0.155027932960894</c:v>
                </c:pt>
                <c:pt idx="3">
                  <c:v>0.107541899441341</c:v>
                </c:pt>
                <c:pt idx="4">
                  <c:v>0.0935754189944134</c:v>
                </c:pt>
                <c:pt idx="5">
                  <c:v>0.0949720670391061</c:v>
                </c:pt>
                <c:pt idx="6">
                  <c:v>0.0544692737430168</c:v>
                </c:pt>
                <c:pt idx="7">
                  <c:v>0.0335195530726257</c:v>
                </c:pt>
                <c:pt idx="8">
                  <c:v>0.00279329608938547</c:v>
                </c:pt>
              </c:numCache>
            </c:numRef>
          </c:val>
        </c:ser>
        <c:ser>
          <c:idx val="1"/>
          <c:order val="1"/>
          <c:tx>
            <c:strRef>
              <c:f>整理!$C$315</c:f>
              <c:strCache>
                <c:ptCount val="1"/>
                <c:pt idx="0">
                  <c:v>专科生毕业</c:v>
                </c:pt>
              </c:strCache>
            </c:strRef>
          </c:tx>
          <c:spPr>
            <a:solidFill>
              <a:schemeClr val="accent4"/>
            </a:solidFill>
            <a:ln>
              <a:noFill/>
            </a:ln>
            <a:effectLst/>
          </c:spPr>
          <c:invertIfNegative val="0"/>
          <c:dLbls>
            <c:delete val="1"/>
          </c:dLbls>
          <c:cat>
            <c:strRef>
              <c:f>整理!$A$316:$A$324</c:f>
              <c:strCache>
                <c:ptCount val="9"/>
                <c:pt idx="0">
                  <c:v>其它事业单位</c:v>
                </c:pt>
                <c:pt idx="1">
                  <c:v>国有企业</c:v>
                </c:pt>
                <c:pt idx="2">
                  <c:v>政府机关</c:v>
                </c:pt>
                <c:pt idx="3">
                  <c:v>外资企业</c:v>
                </c:pt>
                <c:pt idx="4">
                  <c:v>社会组织</c:v>
                </c:pt>
                <c:pt idx="5">
                  <c:v>国营企业</c:v>
                </c:pt>
                <c:pt idx="6">
                  <c:v>学校</c:v>
                </c:pt>
                <c:pt idx="7">
                  <c:v>自主创业</c:v>
                </c:pt>
                <c:pt idx="8">
                  <c:v>出国</c:v>
                </c:pt>
              </c:strCache>
            </c:strRef>
          </c:cat>
          <c:val>
            <c:numRef>
              <c:f>整理!$C$316:$C$324</c:f>
              <c:numCache>
                <c:formatCode>0.00%</c:formatCode>
                <c:ptCount val="9"/>
                <c:pt idx="0">
                  <c:v>0.173913043478261</c:v>
                </c:pt>
                <c:pt idx="1">
                  <c:v>0.217391304347826</c:v>
                </c:pt>
                <c:pt idx="2">
                  <c:v>0.0869565217391304</c:v>
                </c:pt>
                <c:pt idx="3">
                  <c:v>0.0434782608695652</c:v>
                </c:pt>
                <c:pt idx="4">
                  <c:v>0.173913043478261</c:v>
                </c:pt>
                <c:pt idx="5">
                  <c:v>0.0869565217391304</c:v>
                </c:pt>
                <c:pt idx="6">
                  <c:v>0.0869565217391304</c:v>
                </c:pt>
                <c:pt idx="7">
                  <c:v>0.130434782608696</c:v>
                </c:pt>
                <c:pt idx="8">
                  <c:v>0</c:v>
                </c:pt>
              </c:numCache>
            </c:numRef>
          </c:val>
        </c:ser>
        <c:ser>
          <c:idx val="2"/>
          <c:order val="2"/>
          <c:tx>
            <c:strRef>
              <c:f>整理!$D$315</c:f>
              <c:strCache>
                <c:ptCount val="1"/>
                <c:pt idx="0">
                  <c:v>总体</c:v>
                </c:pt>
              </c:strCache>
            </c:strRef>
          </c:tx>
          <c:spPr>
            <a:solidFill>
              <a:schemeClr val="accent6"/>
            </a:solidFill>
            <a:ln>
              <a:noFill/>
            </a:ln>
            <a:effectLst/>
          </c:spPr>
          <c:invertIfNegative val="0"/>
          <c:dLbls>
            <c:delete val="1"/>
          </c:dLbls>
          <c:cat>
            <c:strRef>
              <c:f>整理!$A$316:$A$324</c:f>
              <c:strCache>
                <c:ptCount val="9"/>
                <c:pt idx="0">
                  <c:v>其它事业单位</c:v>
                </c:pt>
                <c:pt idx="1">
                  <c:v>国有企业</c:v>
                </c:pt>
                <c:pt idx="2">
                  <c:v>政府机关</c:v>
                </c:pt>
                <c:pt idx="3">
                  <c:v>外资企业</c:v>
                </c:pt>
                <c:pt idx="4">
                  <c:v>社会组织</c:v>
                </c:pt>
                <c:pt idx="5">
                  <c:v>国营企业</c:v>
                </c:pt>
                <c:pt idx="6">
                  <c:v>学校</c:v>
                </c:pt>
                <c:pt idx="7">
                  <c:v>自主创业</c:v>
                </c:pt>
                <c:pt idx="8">
                  <c:v>出国</c:v>
                </c:pt>
              </c:strCache>
            </c:strRef>
          </c:cat>
          <c:val>
            <c:numRef>
              <c:f>整理!$D$316:$D$324</c:f>
              <c:numCache>
                <c:formatCode>0.00%</c:formatCode>
                <c:ptCount val="9"/>
                <c:pt idx="0">
                  <c:v>0.27063599458728</c:v>
                </c:pt>
                <c:pt idx="1">
                  <c:v>0.185385656292287</c:v>
                </c:pt>
                <c:pt idx="2">
                  <c:v>0.152909336941813</c:v>
                </c:pt>
                <c:pt idx="3">
                  <c:v>0.105548037889039</c:v>
                </c:pt>
                <c:pt idx="4">
                  <c:v>0.0960757780784844</c:v>
                </c:pt>
                <c:pt idx="5">
                  <c:v>0.094722598105548</c:v>
                </c:pt>
                <c:pt idx="6">
                  <c:v>0.0554803788903924</c:v>
                </c:pt>
                <c:pt idx="7">
                  <c:v>0.0365358592692828</c:v>
                </c:pt>
                <c:pt idx="8">
                  <c:v>0.0027063599458728</c:v>
                </c:pt>
              </c:numCache>
            </c:numRef>
          </c:val>
        </c:ser>
        <c:dLbls>
          <c:showLegendKey val="0"/>
          <c:showVal val="0"/>
          <c:showCatName val="0"/>
          <c:showSerName val="0"/>
          <c:showPercent val="0"/>
          <c:showBubbleSize val="0"/>
        </c:dLbls>
        <c:gapWidth val="219"/>
        <c:overlap val="-27"/>
        <c:axId val="606628096"/>
        <c:axId val="606628488"/>
      </c:barChart>
      <c:catAx>
        <c:axId val="60662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6628488"/>
        <c:crosses val="autoZero"/>
        <c:auto val="1"/>
        <c:lblAlgn val="ctr"/>
        <c:lblOffset val="100"/>
        <c:noMultiLvlLbl val="0"/>
      </c:catAx>
      <c:valAx>
        <c:axId val="6066284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66280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整理!$E$295</c:f>
              <c:strCache>
                <c:ptCount val="1"/>
                <c:pt idx="0">
                  <c:v>频数</c:v>
                </c:pt>
              </c:strCache>
            </c:strRef>
          </c:tx>
          <c:spPr/>
          <c:explosion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dPt>
          <c:dPt>
            <c:idx val="4"/>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整理!$D$296:$D$300</c:f>
              <c:strCache>
                <c:ptCount val="5"/>
                <c:pt idx="0">
                  <c:v>回原籍方便与家人一起</c:v>
                </c:pt>
                <c:pt idx="1">
                  <c:v>到一线城市可能机会更多</c:v>
                </c:pt>
                <c:pt idx="2">
                  <c:v>到中小城市工作比较稳定</c:v>
                </c:pt>
                <c:pt idx="3">
                  <c:v>其他</c:v>
                </c:pt>
                <c:pt idx="4">
                  <c:v>到基层更容易干事业</c:v>
                </c:pt>
              </c:strCache>
            </c:strRef>
          </c:cat>
          <c:val>
            <c:numRef>
              <c:f>整理!$E$296:$E$300</c:f>
              <c:numCache>
                <c:formatCode>General</c:formatCode>
                <c:ptCount val="5"/>
                <c:pt idx="0">
                  <c:v>252</c:v>
                </c:pt>
                <c:pt idx="1">
                  <c:v>231</c:v>
                </c:pt>
                <c:pt idx="2">
                  <c:v>136</c:v>
                </c:pt>
                <c:pt idx="3">
                  <c:v>78</c:v>
                </c:pt>
                <c:pt idx="4">
                  <c:v>42</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zh-CN"/>
      </a:pPr>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趋势修改版!$B$1</c:f>
              <c:strCache>
                <c:ptCount val="1"/>
                <c:pt idx="0">
                  <c:v>已就业人数</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趋势修改版!$A$2:$A$5</c:f>
              <c:strCache>
                <c:ptCount val="4"/>
                <c:pt idx="0">
                  <c:v>2013届</c:v>
                </c:pt>
                <c:pt idx="1">
                  <c:v>2014届</c:v>
                </c:pt>
                <c:pt idx="2">
                  <c:v>2015届</c:v>
                </c:pt>
                <c:pt idx="3">
                  <c:v>2016届</c:v>
                </c:pt>
              </c:strCache>
            </c:strRef>
          </c:cat>
          <c:val>
            <c:numRef>
              <c:f>趋势修改版!$B$2:$B$5</c:f>
              <c:numCache>
                <c:formatCode>General</c:formatCode>
                <c:ptCount val="4"/>
                <c:pt idx="0">
                  <c:v>2324</c:v>
                </c:pt>
                <c:pt idx="1">
                  <c:v>2464</c:v>
                </c:pt>
                <c:pt idx="2">
                  <c:v>2677</c:v>
                </c:pt>
                <c:pt idx="3">
                  <c:v>3192</c:v>
                </c:pt>
              </c:numCache>
            </c:numRef>
          </c:val>
        </c:ser>
        <c:ser>
          <c:idx val="1"/>
          <c:order val="1"/>
          <c:tx>
            <c:strRef>
              <c:f>趋势修改版!$C$1</c:f>
              <c:strCache>
                <c:ptCount val="1"/>
                <c:pt idx="0">
                  <c:v>毕业人数</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趋势修改版!$A$2:$A$5</c:f>
              <c:strCache>
                <c:ptCount val="4"/>
                <c:pt idx="0">
                  <c:v>2013届</c:v>
                </c:pt>
                <c:pt idx="1">
                  <c:v>2014届</c:v>
                </c:pt>
                <c:pt idx="2">
                  <c:v>2015届</c:v>
                </c:pt>
                <c:pt idx="3">
                  <c:v>2016届</c:v>
                </c:pt>
              </c:strCache>
            </c:strRef>
          </c:cat>
          <c:val>
            <c:numRef>
              <c:f>趋势修改版!$C$2:$C$5</c:f>
              <c:numCache>
                <c:formatCode>General</c:formatCode>
                <c:ptCount val="4"/>
                <c:pt idx="0">
                  <c:v>2757</c:v>
                </c:pt>
                <c:pt idx="1">
                  <c:v>2764</c:v>
                </c:pt>
                <c:pt idx="2">
                  <c:v>2910</c:v>
                </c:pt>
                <c:pt idx="3">
                  <c:v>3460</c:v>
                </c:pt>
              </c:numCache>
            </c:numRef>
          </c:val>
        </c:ser>
        <c:dLbls>
          <c:showLegendKey val="0"/>
          <c:showVal val="0"/>
          <c:showCatName val="0"/>
          <c:showSerName val="0"/>
          <c:showPercent val="0"/>
          <c:showBubbleSize val="0"/>
        </c:dLbls>
        <c:gapWidth val="150"/>
        <c:axId val="606630056"/>
        <c:axId val="606630448"/>
      </c:barChart>
      <c:lineChart>
        <c:grouping val="standard"/>
        <c:varyColors val="0"/>
        <c:ser>
          <c:idx val="2"/>
          <c:order val="2"/>
          <c:tx>
            <c:strRef>
              <c:f>趋势修改版!$D$1</c:f>
              <c:strCache>
                <c:ptCount val="1"/>
                <c:pt idx="0">
                  <c:v>就业率</c:v>
                </c:pt>
              </c:strCache>
            </c:strRef>
          </c:tx>
          <c:spPr>
            <a:ln w="28575" cap="rnd">
              <a:solidFill>
                <a:schemeClr val="accent5">
                  <a:lumMod val="60000"/>
                  <a:lumOff val="40000"/>
                </a:schemeClr>
              </a:solidFill>
              <a:round/>
            </a:ln>
            <a:effectLst/>
          </c:spPr>
          <c:marker>
            <c:symbol val="diamond"/>
            <c:size val="5"/>
            <c:spPr>
              <a:solidFill>
                <a:schemeClr val="accent3"/>
              </a:solidFill>
              <a:ln w="9525">
                <a:solidFill>
                  <a:schemeClr val="accent5">
                    <a:lumMod val="60000"/>
                    <a:lumOff val="40000"/>
                  </a:schemeClr>
                </a:solidFill>
              </a:ln>
              <a:effectLst/>
            </c:spPr>
          </c:marker>
          <c:dLbls>
            <c:dLbl>
              <c:idx val="2"/>
              <c:layout>
                <c:manualLayout>
                  <c:x val="-0.0507936406361924"/>
                  <c:y val="-0.0361336946702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趋势修改版!$A$2:$A$5</c:f>
              <c:strCache>
                <c:ptCount val="4"/>
                <c:pt idx="0">
                  <c:v>2013届</c:v>
                </c:pt>
                <c:pt idx="1">
                  <c:v>2014届</c:v>
                </c:pt>
                <c:pt idx="2">
                  <c:v>2015届</c:v>
                </c:pt>
                <c:pt idx="3">
                  <c:v>2016届</c:v>
                </c:pt>
              </c:strCache>
            </c:strRef>
          </c:cat>
          <c:val>
            <c:numRef>
              <c:f>趋势修改版!$D$2:$D$5</c:f>
              <c:numCache>
                <c:formatCode>0.00%</c:formatCode>
                <c:ptCount val="4"/>
                <c:pt idx="0">
                  <c:v>0.842945230322815</c:v>
                </c:pt>
                <c:pt idx="1">
                  <c:v>0.891461649782923</c:v>
                </c:pt>
                <c:pt idx="2">
                  <c:v>0.919931271477663</c:v>
                </c:pt>
                <c:pt idx="3">
                  <c:v>0.922543352601156</c:v>
                </c:pt>
              </c:numCache>
            </c:numRef>
          </c:val>
          <c:smooth val="0"/>
        </c:ser>
        <c:dLbls>
          <c:showLegendKey val="0"/>
          <c:showVal val="0"/>
          <c:showCatName val="0"/>
          <c:showSerName val="0"/>
          <c:showPercent val="0"/>
          <c:showBubbleSize val="0"/>
        </c:dLbls>
        <c:marker val="1"/>
        <c:smooth val="0"/>
        <c:axId val="606631232"/>
        <c:axId val="606630840"/>
      </c:lineChart>
      <c:catAx>
        <c:axId val="606630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6630448"/>
        <c:crosses val="autoZero"/>
        <c:auto val="1"/>
        <c:lblAlgn val="ctr"/>
        <c:lblOffset val="100"/>
        <c:noMultiLvlLbl val="0"/>
      </c:catAx>
      <c:valAx>
        <c:axId val="606630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6630056"/>
        <c:crosses val="autoZero"/>
        <c:crossBetween val="between"/>
      </c:valAx>
      <c:catAx>
        <c:axId val="606631232"/>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6630840"/>
        <c:crosses val="autoZero"/>
        <c:auto val="1"/>
        <c:lblAlgn val="ctr"/>
        <c:lblOffset val="100"/>
        <c:noMultiLvlLbl val="0"/>
      </c:catAx>
      <c:valAx>
        <c:axId val="606630840"/>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6631232"/>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趋势修改版!$B$35</c:f>
              <c:strCache>
                <c:ptCount val="1"/>
                <c:pt idx="0">
                  <c:v>本科生</c:v>
                </c:pt>
              </c:strCache>
            </c:strRef>
          </c:tx>
          <c:spPr>
            <a:ln w="28575" cap="rnd">
              <a:solidFill>
                <a:schemeClr val="accent1"/>
              </a:solidFill>
              <a:round/>
            </a:ln>
            <a:effectLst/>
          </c:spPr>
          <c:marker>
            <c:symbol val="circle"/>
            <c:size val="5"/>
            <c:spPr>
              <a:solidFill>
                <a:schemeClr val="accent6"/>
              </a:solidFill>
              <a:ln w="9525">
                <a:solidFill>
                  <a:schemeClr val="accent1"/>
                </a:solidFill>
              </a:ln>
              <a:effectLst/>
            </c:spPr>
          </c:marker>
          <c:dPt>
            <c:idx val="1"/>
            <c:marker>
              <c:symbol val="circle"/>
              <c:size val="5"/>
              <c:spPr>
                <a:solidFill>
                  <a:schemeClr val="accent6"/>
                </a:solidFill>
                <a:ln w="9525">
                  <a:solidFill>
                    <a:schemeClr val="accent6"/>
                  </a:solidFill>
                </a:ln>
                <a:effectLst/>
              </c:spPr>
            </c:marker>
            <c:bubble3D val="0"/>
            <c:spPr>
              <a:ln w="28575" cap="rnd">
                <a:solidFill>
                  <a:schemeClr val="accent6"/>
                </a:solidFill>
                <a:round/>
              </a:ln>
              <a:effectLst/>
            </c:spPr>
          </c:dPt>
          <c:dPt>
            <c:idx val="2"/>
            <c:marker>
              <c:symbol val="circle"/>
              <c:size val="5"/>
              <c:spPr>
                <a:solidFill>
                  <a:schemeClr val="accent6"/>
                </a:solidFill>
                <a:ln w="9525">
                  <a:solidFill>
                    <a:schemeClr val="accent6"/>
                  </a:solidFill>
                </a:ln>
                <a:effectLst/>
              </c:spPr>
            </c:marker>
            <c:bubble3D val="0"/>
            <c:spPr>
              <a:ln w="28575" cap="rnd">
                <a:solidFill>
                  <a:schemeClr val="accent6"/>
                </a:solidFill>
                <a:round/>
              </a:ln>
              <a:effectLst/>
            </c:spPr>
          </c:dPt>
          <c:dPt>
            <c:idx val="3"/>
            <c:marker>
              <c:symbol val="circle"/>
              <c:size val="5"/>
              <c:spPr>
                <a:solidFill>
                  <a:schemeClr val="accent6"/>
                </a:solidFill>
                <a:ln w="9525">
                  <a:solidFill>
                    <a:schemeClr val="accent6"/>
                  </a:solidFill>
                </a:ln>
                <a:effectLst/>
              </c:spPr>
            </c:marker>
            <c:bubble3D val="0"/>
            <c:spPr>
              <a:ln w="28575" cap="rnd">
                <a:solidFill>
                  <a:schemeClr val="accent6"/>
                </a:solidFill>
                <a:round/>
              </a:ln>
              <a:effectLst/>
            </c:spPr>
          </c:dPt>
          <c:dLbls>
            <c:dLbl>
              <c:idx val="0"/>
              <c:layout>
                <c:manualLayout>
                  <c:x val="-0.0594315245478036"/>
                  <c:y val="0.034090909090909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16795865633075"/>
                  <c:y val="-0.034090909090909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359173126615"/>
                  <c:y val="0.034090909090909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趋势修改版!$A$36:$A$39</c:f>
              <c:strCache>
                <c:ptCount val="4"/>
                <c:pt idx="0">
                  <c:v>2013届</c:v>
                </c:pt>
                <c:pt idx="1">
                  <c:v>2014届</c:v>
                </c:pt>
                <c:pt idx="2">
                  <c:v>2015届</c:v>
                </c:pt>
                <c:pt idx="3">
                  <c:v>2016届</c:v>
                </c:pt>
              </c:strCache>
            </c:strRef>
          </c:cat>
          <c:val>
            <c:numRef>
              <c:f>趋势修改版!$B$36:$B$39</c:f>
              <c:numCache>
                <c:formatCode>0.00%</c:formatCode>
                <c:ptCount val="4"/>
                <c:pt idx="0">
                  <c:v>0.8424</c:v>
                </c:pt>
                <c:pt idx="1">
                  <c:v>0.8985</c:v>
                </c:pt>
                <c:pt idx="2">
                  <c:v>0.9179</c:v>
                </c:pt>
                <c:pt idx="3">
                  <c:v>0.9216</c:v>
                </c:pt>
              </c:numCache>
            </c:numRef>
          </c:val>
          <c:smooth val="0"/>
        </c:ser>
        <c:ser>
          <c:idx val="1"/>
          <c:order val="1"/>
          <c:tx>
            <c:strRef>
              <c:f>趋势修改版!$C$35</c:f>
              <c:strCache>
                <c:ptCount val="1"/>
                <c:pt idx="0">
                  <c:v>专科生</c:v>
                </c:pt>
              </c:strCache>
            </c:strRef>
          </c:tx>
          <c:spPr>
            <a:ln w="28575" cap="rnd">
              <a:solidFill>
                <a:schemeClr val="accent2"/>
              </a:solidFill>
              <a:round/>
            </a:ln>
            <a:effectLst/>
          </c:spPr>
          <c:marker>
            <c:symbol val="diamond"/>
            <c:size val="6"/>
            <c:spPr>
              <a:solidFill>
                <a:schemeClr val="accent2"/>
              </a:solidFill>
              <a:ln w="9525">
                <a:solidFill>
                  <a:schemeClr val="accent2"/>
                </a:solidFill>
              </a:ln>
              <a:effectLst/>
            </c:spPr>
          </c:marker>
          <c:dLbls>
            <c:dLbl>
              <c:idx val="0"/>
              <c:layout>
                <c:manualLayout>
                  <c:x val="-0.0439276485788114"/>
                  <c:y val="-0.037878787878787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16795865633076"/>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55038759689922"/>
                  <c:y val="-0.026515151515151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趋势修改版!$A$36:$A$39</c:f>
              <c:strCache>
                <c:ptCount val="4"/>
                <c:pt idx="0">
                  <c:v>2013届</c:v>
                </c:pt>
                <c:pt idx="1">
                  <c:v>2014届</c:v>
                </c:pt>
                <c:pt idx="2">
                  <c:v>2015届</c:v>
                </c:pt>
                <c:pt idx="3">
                  <c:v>2016届</c:v>
                </c:pt>
              </c:strCache>
            </c:strRef>
          </c:cat>
          <c:val>
            <c:numRef>
              <c:f>趋势修改版!$C$36:$C$39</c:f>
              <c:numCache>
                <c:formatCode>0.00%</c:formatCode>
                <c:ptCount val="4"/>
                <c:pt idx="0">
                  <c:v>0.8512</c:v>
                </c:pt>
                <c:pt idx="1">
                  <c:v>0.8117</c:v>
                </c:pt>
                <c:pt idx="2">
                  <c:v>0.9447</c:v>
                </c:pt>
                <c:pt idx="3">
                  <c:v>0.9381</c:v>
                </c:pt>
              </c:numCache>
            </c:numRef>
          </c:val>
          <c:smooth val="0"/>
        </c:ser>
        <c:dLbls>
          <c:showLegendKey val="0"/>
          <c:showVal val="0"/>
          <c:showCatName val="0"/>
          <c:showSerName val="0"/>
          <c:showPercent val="0"/>
          <c:showBubbleSize val="0"/>
        </c:dLbls>
        <c:marker val="1"/>
        <c:smooth val="0"/>
        <c:axId val="606632016"/>
        <c:axId val="606632408"/>
      </c:lineChart>
      <c:catAx>
        <c:axId val="60663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6632408"/>
        <c:crosses val="autoZero"/>
        <c:auto val="1"/>
        <c:lblAlgn val="ctr"/>
        <c:lblOffset val="100"/>
        <c:noMultiLvlLbl val="0"/>
      </c:catAx>
      <c:valAx>
        <c:axId val="6066324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66320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dk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Sheet3!$A$3:$A$7</c:f>
              <c:strCache>
                <c:ptCount val="5"/>
                <c:pt idx="0">
                  <c:v>非常了解</c:v>
                </c:pt>
                <c:pt idx="1">
                  <c:v>了解</c:v>
                </c:pt>
                <c:pt idx="2">
                  <c:v>比较了解</c:v>
                </c:pt>
                <c:pt idx="3">
                  <c:v>不怎么了解</c:v>
                </c:pt>
                <c:pt idx="4">
                  <c:v>一点都不了解</c:v>
                </c:pt>
              </c:strCache>
            </c:strRef>
          </c:cat>
          <c:val>
            <c:numRef>
              <c:f>Sheet3!$C$3:$C$7</c:f>
              <c:numCache>
                <c:formatCode>0.00%</c:formatCode>
                <c:ptCount val="5"/>
                <c:pt idx="0">
                  <c:v>0.0706570657065707</c:v>
                </c:pt>
                <c:pt idx="1">
                  <c:v>0.588208820882088</c:v>
                </c:pt>
                <c:pt idx="2">
                  <c:v>0.17956795679568</c:v>
                </c:pt>
                <c:pt idx="3">
                  <c:v>0.117011701170117</c:v>
                </c:pt>
                <c:pt idx="4">
                  <c:v>0.0445544554455446</c:v>
                </c:pt>
              </c:numCache>
            </c:numRef>
          </c:val>
        </c:ser>
        <c:dLbls>
          <c:showLegendKey val="0"/>
          <c:showVal val="1"/>
          <c:showCatName val="0"/>
          <c:showSerName val="0"/>
          <c:showPercent val="0"/>
          <c:showBubbleSize val="0"/>
        </c:dLbls>
        <c:gapWidth val="267"/>
        <c:overlap val="-43"/>
        <c:axId val="606633192"/>
        <c:axId val="606633584"/>
      </c:barChart>
      <c:catAx>
        <c:axId val="6066331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zh-CN" sz="900" b="0" i="0" u="none" strike="noStrike" kern="1200" cap="none" spc="0" normalizeH="0" baseline="0">
                <a:solidFill>
                  <a:schemeClr val="dk1">
                    <a:lumMod val="65000"/>
                    <a:lumOff val="35000"/>
                  </a:schemeClr>
                </a:solidFill>
                <a:latin typeface="+mn-lt"/>
                <a:ea typeface="+mn-ea"/>
                <a:cs typeface="+mn-cs"/>
              </a:defRPr>
            </a:pPr>
          </a:p>
        </c:txPr>
        <c:crossAx val="606633584"/>
        <c:crosses val="autoZero"/>
        <c:auto val="1"/>
        <c:lblAlgn val="ctr"/>
        <c:lblOffset val="100"/>
        <c:noMultiLvlLbl val="0"/>
      </c:catAx>
      <c:valAx>
        <c:axId val="606633584"/>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crossAx val="60663319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lang="zh-CN"/>
      </a:pPr>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Sheet3!$A$107:$A$113</c:f>
              <c:strCache>
                <c:ptCount val="7"/>
                <c:pt idx="0">
                  <c:v>其他</c:v>
                </c:pt>
                <c:pt idx="1">
                  <c:v>师资水平</c:v>
                </c:pt>
                <c:pt idx="2">
                  <c:v>公共课内容及安排</c:v>
                </c:pt>
                <c:pt idx="3">
                  <c:v>考核方法与教学评价</c:v>
                </c:pt>
                <c:pt idx="4">
                  <c:v>教学方法和手段</c:v>
                </c:pt>
                <c:pt idx="5">
                  <c:v>专业课内容及安排</c:v>
                </c:pt>
                <c:pt idx="6">
                  <c:v>实践教学</c:v>
                </c:pt>
              </c:strCache>
            </c:strRef>
          </c:cat>
          <c:val>
            <c:numRef>
              <c:f>Sheet3!$C$107:$C$113</c:f>
              <c:numCache>
                <c:formatCode>0.00%</c:formatCode>
                <c:ptCount val="7"/>
                <c:pt idx="0">
                  <c:v>0.048004800480048</c:v>
                </c:pt>
                <c:pt idx="1">
                  <c:v>0.0966096609660966</c:v>
                </c:pt>
                <c:pt idx="2">
                  <c:v>0.0987098709870987</c:v>
                </c:pt>
                <c:pt idx="3">
                  <c:v>0.113261326132613</c:v>
                </c:pt>
                <c:pt idx="4">
                  <c:v>0.197269726972697</c:v>
                </c:pt>
                <c:pt idx="5">
                  <c:v>0.208070807080708</c:v>
                </c:pt>
                <c:pt idx="6">
                  <c:v>0.238073807380738</c:v>
                </c:pt>
              </c:numCache>
            </c:numRef>
          </c:val>
        </c:ser>
        <c:dLbls>
          <c:showLegendKey val="0"/>
          <c:showVal val="1"/>
          <c:showCatName val="0"/>
          <c:showSerName val="0"/>
          <c:showPercent val="0"/>
          <c:showBubbleSize val="0"/>
        </c:dLbls>
        <c:gapWidth val="182"/>
        <c:axId val="606634368"/>
        <c:axId val="606634760"/>
      </c:barChart>
      <c:catAx>
        <c:axId val="606634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6634760"/>
        <c:crosses val="autoZero"/>
        <c:auto val="1"/>
        <c:lblAlgn val="ctr"/>
        <c:lblOffset val="100"/>
        <c:noMultiLvlLbl val="0"/>
      </c:catAx>
      <c:valAx>
        <c:axId val="60663476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6634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Sheet2!$A$51:$A$55</c:f>
              <c:strCache>
                <c:ptCount val="5"/>
                <c:pt idx="0">
                  <c:v>就业/创业指导课</c:v>
                </c:pt>
                <c:pt idx="1">
                  <c:v>职业咨询/辅导</c:v>
                </c:pt>
                <c:pt idx="2">
                  <c:v>校园招聘活动</c:v>
                </c:pt>
                <c:pt idx="3">
                  <c:v>就业手续办理</c:v>
                </c:pt>
                <c:pt idx="4">
                  <c:v>就业困难群体帮扶</c:v>
                </c:pt>
              </c:strCache>
            </c:strRef>
          </c:cat>
          <c:val>
            <c:numRef>
              <c:f>Sheet2!$B$51:$B$55</c:f>
              <c:numCache>
                <c:formatCode>0.00%</c:formatCode>
                <c:ptCount val="5"/>
                <c:pt idx="0">
                  <c:v>0.93969396939694</c:v>
                </c:pt>
                <c:pt idx="1">
                  <c:v>0.912691269126913</c:v>
                </c:pt>
                <c:pt idx="2">
                  <c:v>0.95949594959496</c:v>
                </c:pt>
                <c:pt idx="3">
                  <c:v>0.932043204320432</c:v>
                </c:pt>
                <c:pt idx="4">
                  <c:v>0.927992799279928</c:v>
                </c:pt>
              </c:numCache>
            </c:numRef>
          </c:val>
        </c:ser>
        <c:dLbls>
          <c:showLegendKey val="0"/>
          <c:showVal val="1"/>
          <c:showCatName val="0"/>
          <c:showSerName val="0"/>
          <c:showPercent val="0"/>
          <c:showBubbleSize val="0"/>
        </c:dLbls>
        <c:gapWidth val="219"/>
        <c:overlap val="-27"/>
        <c:axId val="606635544"/>
        <c:axId val="399921520"/>
      </c:barChart>
      <c:catAx>
        <c:axId val="606635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9921520"/>
        <c:crosses val="autoZero"/>
        <c:auto val="1"/>
        <c:lblAlgn val="ctr"/>
        <c:lblOffset val="100"/>
        <c:noMultiLvlLbl val="0"/>
      </c:catAx>
      <c:valAx>
        <c:axId val="3999215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6635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Sheet3!$A$121:$A$125</c:f>
              <c:strCache>
                <c:ptCount val="5"/>
                <c:pt idx="0">
                  <c:v>就业/创业指导课</c:v>
                </c:pt>
                <c:pt idx="1">
                  <c:v>职业咨询/辅导</c:v>
                </c:pt>
                <c:pt idx="2">
                  <c:v>校园招聘活动</c:v>
                </c:pt>
                <c:pt idx="3">
                  <c:v>就业手续办理</c:v>
                </c:pt>
                <c:pt idx="4">
                  <c:v>就业困难群体帮扶</c:v>
                </c:pt>
              </c:strCache>
            </c:strRef>
          </c:cat>
          <c:val>
            <c:numRef>
              <c:f>Sheet3!$C$121:$C$125</c:f>
              <c:numCache>
                <c:formatCode>0.00_ </c:formatCode>
                <c:ptCount val="5"/>
                <c:pt idx="0">
                  <c:v>3.94959495949595</c:v>
                </c:pt>
                <c:pt idx="1">
                  <c:v>3.83708370837084</c:v>
                </c:pt>
                <c:pt idx="2">
                  <c:v>4.09450945094509</c:v>
                </c:pt>
                <c:pt idx="3">
                  <c:v>3.90684068406841</c:v>
                </c:pt>
                <c:pt idx="4">
                  <c:v>3.92349234923492</c:v>
                </c:pt>
              </c:numCache>
            </c:numRef>
          </c:val>
        </c:ser>
        <c:dLbls>
          <c:showLegendKey val="0"/>
          <c:showVal val="1"/>
          <c:showCatName val="0"/>
          <c:showSerName val="0"/>
          <c:showPercent val="0"/>
          <c:showBubbleSize val="0"/>
        </c:dLbls>
        <c:axId val="399922304"/>
        <c:axId val="399922696"/>
      </c:radarChart>
      <c:catAx>
        <c:axId val="39992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9922696"/>
        <c:crosses val="autoZero"/>
        <c:auto val="1"/>
        <c:lblAlgn val="ctr"/>
        <c:lblOffset val="100"/>
        <c:noMultiLvlLbl val="0"/>
      </c:catAx>
      <c:valAx>
        <c:axId val="399922696"/>
        <c:scaling>
          <c:orientation val="minMax"/>
        </c:scaling>
        <c:delete val="1"/>
        <c:axPos val="l"/>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9922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Sheet3!$B$28</c:f>
              <c:strCache>
                <c:ptCount val="1"/>
                <c:pt idx="0">
                  <c:v>人数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Sheet3!$A$29:$A$33</c:f>
              <c:strCache>
                <c:ptCount val="5"/>
                <c:pt idx="0">
                  <c:v>非常愿意</c:v>
                </c:pt>
                <c:pt idx="1">
                  <c:v>愿意</c:v>
                </c:pt>
                <c:pt idx="2">
                  <c:v>比较满意</c:v>
                </c:pt>
                <c:pt idx="3">
                  <c:v>不太愿意</c:v>
                </c:pt>
                <c:pt idx="4">
                  <c:v>很不愿意</c:v>
                </c:pt>
              </c:strCache>
            </c:strRef>
          </c:cat>
          <c:val>
            <c:numRef>
              <c:f>Sheet3!$B$29:$B$33</c:f>
              <c:numCache>
                <c:formatCode>General</c:formatCode>
                <c:ptCount val="5"/>
                <c:pt idx="0">
                  <c:v>462</c:v>
                </c:pt>
                <c:pt idx="1">
                  <c:v>881</c:v>
                </c:pt>
                <c:pt idx="2">
                  <c:v>617</c:v>
                </c:pt>
                <c:pt idx="3">
                  <c:v>236</c:v>
                </c:pt>
                <c:pt idx="4">
                  <c:v>26</c:v>
                </c:pt>
              </c:numCache>
            </c:numRef>
          </c:val>
        </c:ser>
        <c:dLbls>
          <c:showLegendKey val="0"/>
          <c:showVal val="1"/>
          <c:showCatName val="0"/>
          <c:showSerName val="0"/>
          <c:showPercent val="0"/>
          <c:showBubbleSize val="0"/>
        </c:dLbls>
        <c:gapWidth val="150"/>
        <c:axId val="399923480"/>
        <c:axId val="399923872"/>
      </c:barChart>
      <c:lineChart>
        <c:grouping val="standard"/>
        <c:varyColors val="0"/>
        <c:ser>
          <c:idx val="1"/>
          <c:order val="1"/>
          <c:tx>
            <c:strRef>
              <c:f>Sheet3!$C$28</c:f>
              <c:strCache>
                <c:ptCount val="1"/>
                <c:pt idx="0">
                  <c:v>比例</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Sheet3!$A$29:$A$33</c:f>
              <c:strCache>
                <c:ptCount val="5"/>
                <c:pt idx="0">
                  <c:v>非常愿意</c:v>
                </c:pt>
                <c:pt idx="1">
                  <c:v>愿意</c:v>
                </c:pt>
                <c:pt idx="2">
                  <c:v>比较满意</c:v>
                </c:pt>
                <c:pt idx="3">
                  <c:v>不太愿意</c:v>
                </c:pt>
                <c:pt idx="4">
                  <c:v>很不愿意</c:v>
                </c:pt>
              </c:strCache>
            </c:strRef>
          </c:cat>
          <c:val>
            <c:numRef>
              <c:f>Sheet3!$C$29:$C$33</c:f>
              <c:numCache>
                <c:formatCode>0.00%</c:formatCode>
                <c:ptCount val="5"/>
                <c:pt idx="0">
                  <c:v>0.207920792079208</c:v>
                </c:pt>
                <c:pt idx="1">
                  <c:v>0.396489648964896</c:v>
                </c:pt>
                <c:pt idx="2">
                  <c:v>0.277677767776778</c:v>
                </c:pt>
                <c:pt idx="3">
                  <c:v>0.106210621062106</c:v>
                </c:pt>
                <c:pt idx="4">
                  <c:v>0.0117011701170117</c:v>
                </c:pt>
              </c:numCache>
            </c:numRef>
          </c:val>
          <c:smooth val="0"/>
        </c:ser>
        <c:dLbls>
          <c:showLegendKey val="0"/>
          <c:showVal val="1"/>
          <c:showCatName val="0"/>
          <c:showSerName val="0"/>
          <c:showPercent val="0"/>
          <c:showBubbleSize val="0"/>
        </c:dLbls>
        <c:marker val="0"/>
        <c:smooth val="0"/>
        <c:axId val="399924656"/>
        <c:axId val="399924264"/>
      </c:lineChart>
      <c:catAx>
        <c:axId val="399923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9923872"/>
        <c:crosses val="autoZero"/>
        <c:auto val="1"/>
        <c:lblAlgn val="ctr"/>
        <c:lblOffset val="100"/>
        <c:noMultiLvlLbl val="0"/>
      </c:catAx>
      <c:valAx>
        <c:axId val="399923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9923480"/>
        <c:crosses val="autoZero"/>
        <c:crossBetween val="between"/>
      </c:valAx>
      <c:catAx>
        <c:axId val="399924656"/>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9924264"/>
        <c:crosses val="autoZero"/>
        <c:auto val="1"/>
        <c:lblAlgn val="ctr"/>
        <c:lblOffset val="100"/>
        <c:noMultiLvlLbl val="0"/>
      </c:catAx>
      <c:valAx>
        <c:axId val="399924264"/>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9924656"/>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Sheet2!$B$248</c:f>
              <c:strCache>
                <c:ptCount val="1"/>
                <c:pt idx="0">
                  <c:v>本科生毕业</c:v>
                </c:pt>
              </c:strCache>
            </c:strRef>
          </c:tx>
          <c:spPr>
            <a:solidFill>
              <a:schemeClr val="accent2"/>
            </a:solidFill>
            <a:ln>
              <a:noFill/>
            </a:ln>
            <a:effectLst/>
          </c:spPr>
          <c:invertIfNegative val="0"/>
          <c:dLbls>
            <c:dLbl>
              <c:idx val="8"/>
              <c:layout/>
              <c:tx>
                <c:rich>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a:t>92.16%</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Sheet2!$A$249:$A$257</c:f>
              <c:strCache>
                <c:ptCount val="9"/>
                <c:pt idx="0">
                  <c:v>非困难生</c:v>
                </c:pt>
                <c:pt idx="1">
                  <c:v>家庭经济困难</c:v>
                </c:pt>
                <c:pt idx="2">
                  <c:v>就业期望过高</c:v>
                </c:pt>
                <c:pt idx="3">
                  <c:v>纯农户家庭</c:v>
                </c:pt>
                <c:pt idx="4">
                  <c:v>就业困难和家庭困难</c:v>
                </c:pt>
                <c:pt idx="5">
                  <c:v>家庭困难和残疾</c:v>
                </c:pt>
                <c:pt idx="6">
                  <c:v>身体残疾</c:v>
                </c:pt>
                <c:pt idx="7">
                  <c:v>重灾区</c:v>
                </c:pt>
                <c:pt idx="8">
                  <c:v>总计</c:v>
                </c:pt>
              </c:strCache>
            </c:strRef>
          </c:cat>
          <c:val>
            <c:numRef>
              <c:f>Sheet2!$B$249:$B$257</c:f>
              <c:numCache>
                <c:formatCode>0.00%</c:formatCode>
                <c:ptCount val="9"/>
                <c:pt idx="0">
                  <c:v>0.920125566794559</c:v>
                </c:pt>
                <c:pt idx="1">
                  <c:v>0.939914163090129</c:v>
                </c:pt>
                <c:pt idx="2">
                  <c:v>0.931818181818182</c:v>
                </c:pt>
                <c:pt idx="3">
                  <c:v>0.952380952380952</c:v>
                </c:pt>
                <c:pt idx="4">
                  <c:v>0.96969696969697</c:v>
                </c:pt>
                <c:pt idx="5">
                  <c:v>1</c:v>
                </c:pt>
                <c:pt idx="6">
                  <c:v>1</c:v>
                </c:pt>
                <c:pt idx="7">
                  <c:v>1</c:v>
                </c:pt>
                <c:pt idx="8">
                  <c:v>0.922841396203307</c:v>
                </c:pt>
              </c:numCache>
            </c:numRef>
          </c:val>
        </c:ser>
        <c:ser>
          <c:idx val="1"/>
          <c:order val="1"/>
          <c:tx>
            <c:strRef>
              <c:f>Sheet2!$C$248</c:f>
              <c:strCache>
                <c:ptCount val="1"/>
                <c:pt idx="0">
                  <c:v>专科生毕业</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Sheet2!$A$249:$A$257</c:f>
              <c:strCache>
                <c:ptCount val="9"/>
                <c:pt idx="0">
                  <c:v>非困难生</c:v>
                </c:pt>
                <c:pt idx="1">
                  <c:v>家庭经济困难</c:v>
                </c:pt>
                <c:pt idx="2">
                  <c:v>就业期望过高</c:v>
                </c:pt>
                <c:pt idx="3">
                  <c:v>纯农户家庭</c:v>
                </c:pt>
                <c:pt idx="4">
                  <c:v>就业困难和家庭困难</c:v>
                </c:pt>
                <c:pt idx="5">
                  <c:v>家庭困难和残疾</c:v>
                </c:pt>
                <c:pt idx="6">
                  <c:v>身体残疾</c:v>
                </c:pt>
                <c:pt idx="7">
                  <c:v>重灾区</c:v>
                </c:pt>
                <c:pt idx="8">
                  <c:v>总计</c:v>
                </c:pt>
              </c:strCache>
            </c:strRef>
          </c:cat>
          <c:val>
            <c:numRef>
              <c:f>Sheet2!$C$249:$C$257</c:f>
              <c:numCache>
                <c:formatCode>0.00%</c:formatCode>
                <c:ptCount val="9"/>
                <c:pt idx="0">
                  <c:v>0.932203389830508</c:v>
                </c:pt>
                <c:pt idx="1">
                  <c:v>1</c:v>
                </c:pt>
                <c:pt idx="2">
                  <c:v>1</c:v>
                </c:pt>
                <c:pt idx="4">
                  <c:v>1</c:v>
                </c:pt>
                <c:pt idx="8">
                  <c:v>0.938144329896907</c:v>
                </c:pt>
              </c:numCache>
            </c:numRef>
          </c:val>
        </c:ser>
        <c:ser>
          <c:idx val="2"/>
          <c:order val="2"/>
          <c:tx>
            <c:strRef>
              <c:f>Sheet2!$D$248</c:f>
              <c:strCache>
                <c:ptCount val="1"/>
                <c:pt idx="0">
                  <c:v>总计</c:v>
                </c:pt>
              </c:strCache>
            </c:strRef>
          </c:tx>
          <c:spPr>
            <a:solidFill>
              <a:schemeClr val="accent6"/>
            </a:solidFill>
            <a:ln>
              <a:noFill/>
            </a:ln>
            <a:effectLst/>
          </c:spPr>
          <c:invertIfNegative val="0"/>
          <c:dLbls>
            <c:dLbl>
              <c:idx val="0"/>
              <c:layout>
                <c:manualLayout>
                  <c:x val="0.00240789790512882"/>
                  <c:y val="0.037460198539052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722369371538647"/>
                  <c:y val="0.067428357370294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037460198539052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240789790512873"/>
                  <c:y val="0.044952238246862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056190297808578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0481579581025756"/>
                  <c:y val="0.056190297808578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481579581025765"/>
                  <c:y val="0.063682337516388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
                  <c:y val="0.0524442779546732"/>
                </c:manualLayout>
              </c:layout>
              <c:tx>
                <c:rich>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a:t>92.25%</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Sheet2!$A$249:$A$257</c:f>
              <c:strCache>
                <c:ptCount val="9"/>
                <c:pt idx="0">
                  <c:v>非困难生</c:v>
                </c:pt>
                <c:pt idx="1">
                  <c:v>家庭经济困难</c:v>
                </c:pt>
                <c:pt idx="2">
                  <c:v>就业期望过高</c:v>
                </c:pt>
                <c:pt idx="3">
                  <c:v>纯农户家庭</c:v>
                </c:pt>
                <c:pt idx="4">
                  <c:v>就业困难和家庭困难</c:v>
                </c:pt>
                <c:pt idx="5">
                  <c:v>家庭困难和残疾</c:v>
                </c:pt>
                <c:pt idx="6">
                  <c:v>身体残疾</c:v>
                </c:pt>
                <c:pt idx="7">
                  <c:v>重灾区</c:v>
                </c:pt>
                <c:pt idx="8">
                  <c:v>总计</c:v>
                </c:pt>
              </c:strCache>
            </c:strRef>
          </c:cat>
          <c:val>
            <c:numRef>
              <c:f>Sheet2!$D$249:$D$257</c:f>
              <c:numCache>
                <c:formatCode>0.00%</c:formatCode>
                <c:ptCount val="9"/>
                <c:pt idx="0">
                  <c:v>0.920827858081472</c:v>
                </c:pt>
                <c:pt idx="1">
                  <c:v>0.941176470588235</c:v>
                </c:pt>
                <c:pt idx="2">
                  <c:v>0.939393939393939</c:v>
                </c:pt>
                <c:pt idx="3">
                  <c:v>0.952380952380952</c:v>
                </c:pt>
                <c:pt idx="4">
                  <c:v>0.970588235294118</c:v>
                </c:pt>
                <c:pt idx="5">
                  <c:v>1</c:v>
                </c:pt>
                <c:pt idx="6">
                  <c:v>1</c:v>
                </c:pt>
                <c:pt idx="7">
                  <c:v>1</c:v>
                </c:pt>
                <c:pt idx="8">
                  <c:v>0.923699421965318</c:v>
                </c:pt>
              </c:numCache>
            </c:numRef>
          </c:val>
        </c:ser>
        <c:dLbls>
          <c:showLegendKey val="0"/>
          <c:showVal val="1"/>
          <c:showCatName val="0"/>
          <c:showSerName val="0"/>
          <c:showPercent val="0"/>
          <c:showBubbleSize val="0"/>
        </c:dLbls>
        <c:gapWidth val="219"/>
        <c:overlap val="-27"/>
        <c:axId val="319584512"/>
        <c:axId val="319584904"/>
      </c:barChart>
      <c:catAx>
        <c:axId val="31958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9584904"/>
        <c:crosses val="autoZero"/>
        <c:auto val="1"/>
        <c:lblAlgn val="ctr"/>
        <c:lblOffset val="100"/>
        <c:noMultiLvlLbl val="0"/>
      </c:catAx>
      <c:valAx>
        <c:axId val="3195849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95845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信息、商学院、铁道!$AF$6:$AF$15</c:f>
              <c:strCache>
                <c:ptCount val="10"/>
                <c:pt idx="0">
                  <c:v>老师授课</c:v>
                </c:pt>
                <c:pt idx="1">
                  <c:v>实践教学</c:v>
                </c:pt>
                <c:pt idx="2">
                  <c:v>课程设置</c:v>
                </c:pt>
                <c:pt idx="3">
                  <c:v>专业设置</c:v>
                </c:pt>
                <c:pt idx="4">
                  <c:v>亲友推荐</c:v>
                </c:pt>
                <c:pt idx="5">
                  <c:v>就业/创业指导课</c:v>
                </c:pt>
                <c:pt idx="6">
                  <c:v>职业咨询/辅导</c:v>
                </c:pt>
                <c:pt idx="7">
                  <c:v>校园招聘活动</c:v>
                </c:pt>
                <c:pt idx="8">
                  <c:v>就业手续办理</c:v>
                </c:pt>
                <c:pt idx="9">
                  <c:v>就业困难群体帮扶</c:v>
                </c:pt>
              </c:strCache>
            </c:strRef>
          </c:cat>
          <c:val>
            <c:numRef>
              <c:f>信息、商学院、铁道!$AG$6:$AG$15</c:f>
              <c:numCache>
                <c:formatCode>0.00%</c:formatCode>
                <c:ptCount val="10"/>
                <c:pt idx="0">
                  <c:v>0.218229275041309</c:v>
                </c:pt>
                <c:pt idx="1">
                  <c:v>0.309732034862165</c:v>
                </c:pt>
                <c:pt idx="2">
                  <c:v>0.264713695541217</c:v>
                </c:pt>
                <c:pt idx="3">
                  <c:v>0.23966605039406</c:v>
                </c:pt>
                <c:pt idx="4">
                  <c:v>0.248592432791475</c:v>
                </c:pt>
                <c:pt idx="5">
                  <c:v>0.23305322485252</c:v>
                </c:pt>
                <c:pt idx="6">
                  <c:v>0.269066001783035</c:v>
                </c:pt>
                <c:pt idx="7">
                  <c:v>0.191793615747839</c:v>
                </c:pt>
                <c:pt idx="8">
                  <c:v>0.244980200462633</c:v>
                </c:pt>
                <c:pt idx="9">
                  <c:v>0.257628412763979</c:v>
                </c:pt>
              </c:numCache>
            </c:numRef>
          </c:val>
        </c:ser>
        <c:dLbls>
          <c:showLegendKey val="0"/>
          <c:showVal val="1"/>
          <c:showCatName val="0"/>
          <c:showSerName val="0"/>
          <c:showPercent val="0"/>
          <c:showBubbleSize val="0"/>
        </c:dLbls>
        <c:gapWidth val="182"/>
        <c:axId val="399925440"/>
        <c:axId val="399925832"/>
      </c:barChart>
      <c:catAx>
        <c:axId val="3999254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9925832"/>
        <c:crossesAt val="0.2477"/>
        <c:auto val="1"/>
        <c:lblAlgn val="ctr"/>
        <c:lblOffset val="100"/>
        <c:noMultiLvlLbl val="0"/>
      </c:catAx>
      <c:valAx>
        <c:axId val="399925832"/>
        <c:scaling>
          <c:orientation val="minMax"/>
          <c:max val="0.31"/>
          <c:min val="0.18"/>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9925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9311587287404"/>
          <c:y val="0.04378108080665"/>
          <c:w val="0.86859293102653"/>
          <c:h val="0.879807927352865"/>
        </c:manualLayout>
      </c:layout>
      <c:scatterChart>
        <c:scatterStyle val="lineMarker"/>
        <c:varyColors val="0"/>
        <c:ser>
          <c:idx val="0"/>
          <c:order val="0"/>
          <c:spPr>
            <a:ln w="25400" cap="rnd">
              <a:noFill/>
              <a:round/>
            </a:ln>
            <a:effectLst/>
          </c:spPr>
          <c:marker>
            <c:symbol val="circle"/>
            <c:size val="5"/>
            <c:spPr>
              <a:solidFill>
                <a:schemeClr val="accent2"/>
              </a:solidFill>
              <a:ln w="9525">
                <a:solidFill>
                  <a:schemeClr val="accent2"/>
                </a:solidFill>
              </a:ln>
              <a:effectLst/>
            </c:spPr>
          </c:marker>
          <c:dLbls>
            <c:dLbl>
              <c:idx val="0"/>
              <c:layout/>
              <c:tx>
                <c:rich>
                  <a:bodyPr rot="0" spcFirstLastPara="1" vertOverflow="ellipsis" vert="horz" wrap="square" lIns="38100" tIns="19050" rIns="38100" bIns="19050" anchor="ctr" anchorCtr="1"/>
                  <a:lstStyle/>
                  <a:p>
                    <a:fld id="{b027293c-821d-4fd4-bb23-6d58ca6ae1e1}"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t"/>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manualLayout>
                  <c:x val="-0.00367646987871123"/>
                  <c:y val="0.00235215892156478"/>
                </c:manualLayout>
              </c:layout>
              <c:tx>
                <c:rich>
                  <a:bodyPr rot="0" spcFirstLastPara="1" vertOverflow="ellipsis" vert="horz" wrap="square" lIns="38100" tIns="19050" rIns="38100" bIns="19050" anchor="ctr" anchorCtr="1"/>
                  <a:lstStyle/>
                  <a:p>
                    <a:fld id="{c9c59f89-60bf-4ba3-a214-c0fefc17438b}"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2"/>
              <c:layout/>
              <c:tx>
                <c:rich>
                  <a:bodyPr rot="0" spcFirstLastPara="1" vertOverflow="ellipsis" vert="horz" wrap="square" lIns="38100" tIns="19050" rIns="38100" bIns="19050" anchor="ctr" anchorCtr="1"/>
                  <a:lstStyle/>
                  <a:p>
                    <a:fld id="{4f5bbe19-4ad6-4abf-982b-be7f7479784f}"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t"/>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manualLayout>
                  <c:x val="-0.0649509678572318"/>
                  <c:y val="0.0253086337744616"/>
                </c:manualLayout>
              </c:layout>
              <c:tx>
                <c:rich>
                  <a:bodyPr rot="0" spcFirstLastPara="1" vertOverflow="ellipsis" vert="horz" wrap="square" lIns="38100" tIns="19050" rIns="38100" bIns="19050" anchor="ctr" anchorCtr="1"/>
                  <a:lstStyle/>
                  <a:p>
                    <a:fld id="{1c693e9d-8734-4be7-869f-27dc85884833}"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4"/>
              <c:layout/>
              <c:tx>
                <c:rich>
                  <a:bodyPr rot="0" spcFirstLastPara="1" vertOverflow="ellipsis" vert="horz" wrap="square" lIns="38100" tIns="19050" rIns="38100" bIns="19050" anchor="ctr" anchorCtr="1"/>
                  <a:lstStyle/>
                  <a:p>
                    <a:fld id="{a5f251fe-fdef-4d96-a7e3-799e8eb5d6a2}"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t"/>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manualLayout>
                  <c:x val="-0.0214155817864016"/>
                  <c:y val="0.0253086337744616"/>
                </c:manualLayout>
              </c:layout>
              <c:tx>
                <c:rich>
                  <a:bodyPr rot="0" spcFirstLastPara="1" vertOverflow="ellipsis" vert="horz" wrap="square" lIns="38100" tIns="19050" rIns="38100" bIns="19050" anchor="ctr" anchorCtr="1"/>
                  <a:lstStyle/>
                  <a:p>
                    <a:fld id="{f4f264aa-d731-4266-a870-ee648c7ef7f5}"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6"/>
              <c:layout/>
              <c:tx>
                <c:rich>
                  <a:bodyPr rot="0" spcFirstLastPara="1" vertOverflow="ellipsis" vert="horz" wrap="square" lIns="38100" tIns="19050" rIns="38100" bIns="19050" anchor="ctr" anchorCtr="1"/>
                  <a:lstStyle/>
                  <a:p>
                    <a:fld id="{241694e7-97cc-4424-a76f-cfe6c9692241}"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t"/>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rot="0" spcFirstLastPara="1" vertOverflow="ellipsis" vert="horz" wrap="square" lIns="38100" tIns="19050" rIns="38100" bIns="19050" anchor="ctr" anchorCtr="1"/>
                  <a:lstStyle/>
                  <a:p>
                    <a:fld id="{5e186002-b62e-44e1-b040-45c375d25984}"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t"/>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8"/>
              <c:layout>
                <c:manualLayout>
                  <c:x val="-0.116421546159189"/>
                  <c:y val="0.0211934087704842"/>
                </c:manualLayout>
              </c:layout>
              <c:tx>
                <c:rich>
                  <a:bodyPr rot="0" spcFirstLastPara="1" vertOverflow="ellipsis" vert="horz" wrap="square" lIns="38100" tIns="19050" rIns="38100" bIns="19050" anchor="ctr" anchorCtr="1"/>
                  <a:lstStyle/>
                  <a:p>
                    <a:fld id="{614d45bd-6260-4ad5-8d9d-ab8661c87b04}"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9"/>
              <c:layout/>
              <c:tx>
                <c:rich>
                  <a:bodyPr rot="0" spcFirstLastPara="1" vertOverflow="ellipsis" vert="horz" wrap="square" lIns="38100" tIns="19050" rIns="38100" bIns="19050" anchor="ctr" anchorCtr="1"/>
                  <a:lstStyle/>
                  <a:p>
                    <a:fld id="{80c1eeb3-3763-45ad-9afa-c0b58cf72fe5}"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t"/>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xVal>
            <c:numRef>
              <c:f>信息、商学院、铁道!$N$9:$N$18</c:f>
              <c:numCache>
                <c:formatCode>General</c:formatCode>
                <c:ptCount val="10"/>
                <c:pt idx="0">
                  <c:v>3.71512151215122</c:v>
                </c:pt>
                <c:pt idx="1">
                  <c:v>3.46714671467147</c:v>
                </c:pt>
                <c:pt idx="2">
                  <c:v>3.53015301530153</c:v>
                </c:pt>
                <c:pt idx="3">
                  <c:v>3.62241224122413</c:v>
                </c:pt>
                <c:pt idx="4">
                  <c:v>3.68271827182719</c:v>
                </c:pt>
                <c:pt idx="5">
                  <c:v>3.94959495949595</c:v>
                </c:pt>
                <c:pt idx="6">
                  <c:v>3.83708370837084</c:v>
                </c:pt>
                <c:pt idx="7">
                  <c:v>4.0945094509451</c:v>
                </c:pt>
                <c:pt idx="8">
                  <c:v>3.90684068406841</c:v>
                </c:pt>
                <c:pt idx="9">
                  <c:v>3.92349234923492</c:v>
                </c:pt>
              </c:numCache>
            </c:numRef>
          </c:xVal>
          <c:yVal>
            <c:numRef>
              <c:f>信息、商学院、铁道!$O$9:$O$18</c:f>
              <c:numCache>
                <c:formatCode>General</c:formatCode>
                <c:ptCount val="10"/>
                <c:pt idx="0">
                  <c:v>0.0880860721801073</c:v>
                </c:pt>
                <c:pt idx="1">
                  <c:v>0.125020249341871</c:v>
                </c:pt>
                <c:pt idx="2">
                  <c:v>0.106849045290064</c:v>
                </c:pt>
                <c:pt idx="3">
                  <c:v>0.0967388129302828</c:v>
                </c:pt>
                <c:pt idx="4">
                  <c:v>0.100341858232143</c:v>
                </c:pt>
                <c:pt idx="5">
                  <c:v>0.0940696117983253</c:v>
                </c:pt>
                <c:pt idx="6">
                  <c:v>0.108605810333132</c:v>
                </c:pt>
                <c:pt idx="7">
                  <c:v>0.0774155817419546</c:v>
                </c:pt>
                <c:pt idx="8">
                  <c:v>0.0988838166490902</c:v>
                </c:pt>
                <c:pt idx="9">
                  <c:v>0.10398914150303</c:v>
                </c:pt>
              </c:numCache>
            </c:numRef>
          </c:yVal>
          <c:smooth val="0"/>
          <c:extLst>
            <c:ext xmlns:c15="http://schemas.microsoft.com/office/drawing/2012/chart" uri="{02D57815-91ED-43cb-92C2-25804820EDAC}">
              <c15:datalabelsRange>
                <c15:f>信息、商学院、铁道!$M$9:$M$18</c15:f>
                <c15:dlblRangeCache>
                  <c:ptCount val="10"/>
                  <c:pt idx="0">
                    <c:v>老师授课</c:v>
                  </c:pt>
                  <c:pt idx="1">
                    <c:v>实践教学</c:v>
                  </c:pt>
                  <c:pt idx="2">
                    <c:v>课程设置</c:v>
                  </c:pt>
                  <c:pt idx="3">
                    <c:v>专业设置</c:v>
                  </c:pt>
                  <c:pt idx="4">
                    <c:v>亲友推荐</c:v>
                  </c:pt>
                  <c:pt idx="5">
                    <c:v>就业/创业指导课</c:v>
                  </c:pt>
                  <c:pt idx="6">
                    <c:v>职业咨询/辅导</c:v>
                  </c:pt>
                  <c:pt idx="7">
                    <c:v>校园招聘活动</c:v>
                  </c:pt>
                  <c:pt idx="8">
                    <c:v>就业手续办理</c:v>
                  </c:pt>
                  <c:pt idx="9">
                    <c:v>就业困难群体帮扶</c:v>
                  </c:pt>
                </c15:dlblRangeCache>
              </c15:datalabelsRange>
            </c:ext>
          </c:extLst>
        </c:ser>
        <c:dLbls>
          <c:showLegendKey val="0"/>
          <c:showVal val="1"/>
          <c:showCatName val="0"/>
          <c:showSerName val="0"/>
          <c:showPercent val="0"/>
          <c:showBubbleSize val="0"/>
        </c:dLbls>
        <c:axId val="399926616"/>
        <c:axId val="399927008"/>
      </c:scatterChart>
      <c:valAx>
        <c:axId val="399926616"/>
        <c:scaling>
          <c:orientation val="minMax"/>
          <c:max val="4.096"/>
          <c:min val="3.466"/>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满意度</a:t>
                </a:r>
                <a:endParaRPr lang="zh-CN" altLang="en-US"/>
              </a:p>
            </c:rich>
          </c:tx>
          <c:layout>
            <c:manualLayout>
              <c:xMode val="edge"/>
              <c:yMode val="edge"/>
              <c:x val="0.471941394175275"/>
              <c:y val="0.89253734711095"/>
            </c:manualLayout>
          </c:layout>
          <c:overlay val="0"/>
          <c:spPr>
            <a:noFill/>
            <a:ln>
              <a:noFill/>
            </a:ln>
            <a:effectLst/>
          </c:sp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9927008"/>
        <c:crossesAt val="0.1"/>
        <c:crossBetween val="midCat"/>
      </c:valAx>
      <c:valAx>
        <c:axId val="399927008"/>
        <c:scaling>
          <c:orientation val="minMax"/>
          <c:max val="0.127"/>
          <c:min val="0.075"/>
        </c:scaling>
        <c:delete val="0"/>
        <c:axPos val="l"/>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重要性</a:t>
                </a:r>
                <a:endParaRPr lang="zh-CN" altLang="en-US"/>
              </a:p>
            </c:rich>
          </c:tx>
          <c:layout>
            <c:manualLayout>
              <c:xMode val="edge"/>
              <c:yMode val="edge"/>
              <c:x val="0.0637254778976614"/>
              <c:y val="0.408063177635232"/>
            </c:manualLayout>
          </c:layout>
          <c:overlay val="0"/>
          <c:spPr>
            <a:noFill/>
            <a:ln>
              <a:noFill/>
            </a:ln>
            <a:effectLst/>
          </c:sp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9926616"/>
        <c:crossesAt val="3.773"/>
        <c:crossBetween val="midCat"/>
      </c:valAx>
      <c:spPr>
        <a:noFill/>
        <a:ln>
          <a:noFill/>
        </a:ln>
        <a:effectLst/>
      </c:spPr>
    </c:plotArea>
    <c:plotVisOnly val="1"/>
    <c:dispBlanksAs val="gap"/>
    <c:showDLblsOverMax val="0"/>
  </c:chart>
  <c:spPr>
    <a:solidFill>
      <a:schemeClr val="accent6">
        <a:lumMod val="20000"/>
        <a:lumOff val="80000"/>
      </a:schemeClr>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整理!$C$2</c:f>
              <c:strCache>
                <c:ptCount val="1"/>
                <c:pt idx="0">
                  <c:v>比例</c:v>
                </c:pt>
              </c:strCache>
            </c:strRef>
          </c:tx>
          <c:spPr>
            <a:ln w="22225" cap="rnd">
              <a:solidFill>
                <a:schemeClr val="accent2"/>
              </a:solidFill>
              <a:round/>
            </a:ln>
            <a:effectLst/>
          </c:spPr>
          <c:marker>
            <c:symbol val="diamond"/>
            <c:size val="5"/>
            <c:spPr>
              <a:solidFill>
                <a:schemeClr val="lt1"/>
              </a:solidFill>
              <a:ln w="1587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dk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整理!$A$3:$A$8</c:f>
              <c:strCache>
                <c:ptCount val="6"/>
                <c:pt idx="0">
                  <c:v>50人以下</c:v>
                </c:pt>
                <c:pt idx="1">
                  <c:v>50-150人</c:v>
                </c:pt>
                <c:pt idx="2">
                  <c:v>151-500人</c:v>
                </c:pt>
                <c:pt idx="3">
                  <c:v>501-1000人</c:v>
                </c:pt>
                <c:pt idx="4">
                  <c:v>1001-10000人</c:v>
                </c:pt>
                <c:pt idx="5">
                  <c:v>10000人以上</c:v>
                </c:pt>
              </c:strCache>
            </c:strRef>
          </c:cat>
          <c:val>
            <c:numRef>
              <c:f>整理!$C$3:$C$8</c:f>
              <c:numCache>
                <c:formatCode>0.00%</c:formatCode>
                <c:ptCount val="6"/>
                <c:pt idx="0">
                  <c:v>0.170212765957447</c:v>
                </c:pt>
                <c:pt idx="1">
                  <c:v>0.212765957446809</c:v>
                </c:pt>
                <c:pt idx="2">
                  <c:v>0.191489361702128</c:v>
                </c:pt>
                <c:pt idx="3">
                  <c:v>0.127659574468085</c:v>
                </c:pt>
                <c:pt idx="4">
                  <c:v>0.191489361702128</c:v>
                </c:pt>
                <c:pt idx="5">
                  <c:v>0.106382978723404</c:v>
                </c:pt>
              </c:numCache>
            </c:numRef>
          </c:val>
          <c:smooth val="0"/>
        </c:ser>
        <c:dLbls>
          <c:showLegendKey val="0"/>
          <c:showVal val="1"/>
          <c:showCatName val="0"/>
          <c:showSerName val="0"/>
          <c:showPercent val="0"/>
          <c:showBubbleSize val="0"/>
        </c:dLbls>
        <c:marker val="1"/>
        <c:smooth val="0"/>
        <c:axId val="399927792"/>
        <c:axId val="399928184"/>
      </c:lineChart>
      <c:catAx>
        <c:axId val="39992779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zh-CN" sz="900" b="0" i="0" u="none" strike="noStrike" kern="1200" cap="none" spc="0" normalizeH="0" baseline="0">
                <a:solidFill>
                  <a:schemeClr val="dk1">
                    <a:lumMod val="65000"/>
                    <a:lumOff val="35000"/>
                  </a:schemeClr>
                </a:solidFill>
                <a:latin typeface="+mn-lt"/>
                <a:ea typeface="+mn-ea"/>
                <a:cs typeface="+mn-cs"/>
              </a:defRPr>
            </a:pPr>
          </a:p>
        </c:txPr>
        <c:crossAx val="399928184"/>
        <c:crosses val="autoZero"/>
        <c:auto val="1"/>
        <c:lblAlgn val="ctr"/>
        <c:lblOffset val="100"/>
        <c:noMultiLvlLbl val="0"/>
      </c:catAx>
      <c:valAx>
        <c:axId val="399928184"/>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crossAx val="39992779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lang="zh-CN"/>
      </a:pPr>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整理!$E$11</c:f>
              <c:strCache>
                <c:ptCount val="1"/>
                <c:pt idx="0">
                  <c:v>频数</c:v>
                </c:pt>
              </c:strCache>
            </c:strRef>
          </c:tx>
          <c:spPr/>
          <c:explosion val="7"/>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dPt>
          <c:dPt>
            <c:idx val="4"/>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mn-lt"/>
                    <a:ea typeface="+mn-ea"/>
                    <a:cs typeface="+mn-cs"/>
                  </a:defRPr>
                </a:pPr>
              </a:p>
            </c:txPr>
            <c:dLblPos val="bestFit"/>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整理!$D$12:$D$16</c:f>
              <c:strCache>
                <c:ptCount val="5"/>
                <c:pt idx="0">
                  <c:v>民(私)营企业</c:v>
                </c:pt>
                <c:pt idx="1">
                  <c:v>股份制企业</c:v>
                </c:pt>
                <c:pt idx="2">
                  <c:v>国有企业</c:v>
                </c:pt>
                <c:pt idx="3">
                  <c:v>其他</c:v>
                </c:pt>
                <c:pt idx="4">
                  <c:v>外（合）资企业</c:v>
                </c:pt>
              </c:strCache>
            </c:strRef>
          </c:cat>
          <c:val>
            <c:numRef>
              <c:f>整理!$E$12:$E$16</c:f>
              <c:numCache>
                <c:formatCode>General</c:formatCode>
                <c:ptCount val="5"/>
                <c:pt idx="0">
                  <c:v>31</c:v>
                </c:pt>
                <c:pt idx="1">
                  <c:v>8</c:v>
                </c:pt>
                <c:pt idx="2">
                  <c:v>3</c:v>
                </c:pt>
                <c:pt idx="3">
                  <c:v>3</c:v>
                </c:pt>
                <c:pt idx="4">
                  <c:v>2</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zh-CN"/>
      </a:pPr>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整理!$F$19</c:f>
              <c:strCache>
                <c:ptCount val="1"/>
                <c:pt idx="0">
                  <c:v>比例</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整理!$D$20:$D$34</c:f>
              <c:strCache>
                <c:ptCount val="15"/>
                <c:pt idx="0">
                  <c:v>农、林、牧、渔业</c:v>
                </c:pt>
                <c:pt idx="1">
                  <c:v>房地产业</c:v>
                </c:pt>
                <c:pt idx="2">
                  <c:v>租赁和商务服务业</c:v>
                </c:pt>
                <c:pt idx="3">
                  <c:v>科学研究和技术服务业</c:v>
                </c:pt>
                <c:pt idx="4">
                  <c:v>水利、环境和公共设施管理业</c:v>
                </c:pt>
                <c:pt idx="5">
                  <c:v>居民服务、修理和其他服务业</c:v>
                </c:pt>
                <c:pt idx="6">
                  <c:v>卫生和社会工作</c:v>
                </c:pt>
                <c:pt idx="7">
                  <c:v>文化、体育和娱乐业</c:v>
                </c:pt>
                <c:pt idx="8">
                  <c:v>教育业</c:v>
                </c:pt>
                <c:pt idx="9">
                  <c:v>住宿和餐饮业</c:v>
                </c:pt>
                <c:pt idx="10">
                  <c:v>制造业</c:v>
                </c:pt>
                <c:pt idx="11">
                  <c:v>建筑业</c:v>
                </c:pt>
                <c:pt idx="12">
                  <c:v>批发和零售业</c:v>
                </c:pt>
                <c:pt idx="13">
                  <c:v>金融业</c:v>
                </c:pt>
                <c:pt idx="14">
                  <c:v>信息传输、软件和信息技术服务业</c:v>
                </c:pt>
              </c:strCache>
            </c:strRef>
          </c:cat>
          <c:val>
            <c:numRef>
              <c:f>整理!$F$20:$F$34</c:f>
              <c:numCache>
                <c:formatCode>0.00%</c:formatCode>
                <c:ptCount val="15"/>
                <c:pt idx="0">
                  <c:v>0.0212765957446809</c:v>
                </c:pt>
                <c:pt idx="1">
                  <c:v>0.0212765957446809</c:v>
                </c:pt>
                <c:pt idx="2">
                  <c:v>0.0212765957446809</c:v>
                </c:pt>
                <c:pt idx="3">
                  <c:v>0.0212765957446809</c:v>
                </c:pt>
                <c:pt idx="4">
                  <c:v>0.0212765957446809</c:v>
                </c:pt>
                <c:pt idx="5">
                  <c:v>0.0212765957446809</c:v>
                </c:pt>
                <c:pt idx="6">
                  <c:v>0.0212765957446809</c:v>
                </c:pt>
                <c:pt idx="7">
                  <c:v>0.0425531914893617</c:v>
                </c:pt>
                <c:pt idx="8">
                  <c:v>0.0638297872340425</c:v>
                </c:pt>
                <c:pt idx="9">
                  <c:v>0.0851063829787234</c:v>
                </c:pt>
                <c:pt idx="10">
                  <c:v>0.106382978723404</c:v>
                </c:pt>
                <c:pt idx="11">
                  <c:v>0.106382978723404</c:v>
                </c:pt>
                <c:pt idx="12">
                  <c:v>0.127659574468085</c:v>
                </c:pt>
                <c:pt idx="13">
                  <c:v>0.148936170212766</c:v>
                </c:pt>
                <c:pt idx="14">
                  <c:v>0.170212765957447</c:v>
                </c:pt>
              </c:numCache>
            </c:numRef>
          </c:val>
        </c:ser>
        <c:dLbls>
          <c:showLegendKey val="0"/>
          <c:showVal val="1"/>
          <c:showCatName val="0"/>
          <c:showSerName val="0"/>
          <c:showPercent val="0"/>
          <c:showBubbleSize val="0"/>
        </c:dLbls>
        <c:gapWidth val="150"/>
        <c:axId val="408329384"/>
        <c:axId val="408329776"/>
      </c:barChart>
      <c:catAx>
        <c:axId val="4083293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8329776"/>
        <c:crosses val="autoZero"/>
        <c:auto val="1"/>
        <c:lblAlgn val="ctr"/>
        <c:lblOffset val="100"/>
        <c:noMultiLvlLbl val="0"/>
      </c:catAx>
      <c:valAx>
        <c:axId val="40832977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8329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整理!$B$37</c:f>
              <c:strCache>
                <c:ptCount val="1"/>
                <c:pt idx="0">
                  <c:v>频数</c:v>
                </c:pt>
              </c:strCache>
            </c:strRef>
          </c:tx>
          <c:spPr/>
          <c:explosion val="0"/>
          <c:dPt>
            <c:idx val="0"/>
            <c:bubble3D val="0"/>
            <c:spPr>
              <a:solidFill>
                <a:schemeClr val="accent2"/>
              </a:solidFill>
              <a:ln w="19050">
                <a:solidFill>
                  <a:schemeClr val="lt1"/>
                </a:solidFill>
              </a:ln>
              <a:effectLst/>
            </c:spPr>
          </c:dPt>
          <c:dPt>
            <c:idx val="1"/>
            <c:bubble3D val="0"/>
            <c:spPr>
              <a:solidFill>
                <a:schemeClr val="accent4"/>
              </a:solidFill>
              <a:ln w="19050">
                <a:solidFill>
                  <a:schemeClr val="lt1"/>
                </a:solidFill>
              </a:ln>
              <a:effectLst/>
            </c:spPr>
          </c:dPt>
          <c:dPt>
            <c:idx val="2"/>
            <c:bubble3D val="0"/>
            <c:spPr>
              <a:solidFill>
                <a:schemeClr val="accent6"/>
              </a:solidFill>
              <a:ln w="19050">
                <a:solidFill>
                  <a:schemeClr val="lt1"/>
                </a:solidFill>
              </a:ln>
              <a:effectLst/>
            </c:spPr>
          </c:dPt>
          <c:dPt>
            <c:idx val="3"/>
            <c:bubble3D val="0"/>
            <c:spPr>
              <a:solidFill>
                <a:schemeClr val="accent2">
                  <a:lumMod val="60000"/>
                </a:schemeClr>
              </a:solidFill>
              <a:ln w="19050">
                <a:solidFill>
                  <a:schemeClr val="lt1"/>
                </a:solidFill>
              </a:ln>
              <a:effectLst/>
            </c:spPr>
          </c:dPt>
          <c:dLbls>
            <c:dLbl>
              <c:idx val="0"/>
              <c:layout>
                <c:manualLayout>
                  <c:x val="0.125140177910626"/>
                  <c:y val="0.035620319773325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1"/>
              <c:showBubbleSize val="0"/>
              <c:extLst>
                <c:ext xmlns:c15="http://schemas.microsoft.com/office/drawing/2012/chart" uri="{CE6537A1-D6FC-4f65-9D91-7224C49458BB}">
                  <c15:layout>
                    <c:manualLayout>
                      <c:w val="0.177115353984446"/>
                      <c:h val="0.162213329891141"/>
                    </c:manualLayout>
                  </c15:layout>
                </c:ext>
              </c:extLst>
            </c:dLbl>
            <c:dLbl>
              <c:idx val="1"/>
              <c:layout>
                <c:manualLayout>
                  <c:x val="-0.116094986807388"/>
                  <c:y val="0.0109289617486339"/>
                </c:manualLayout>
              </c:layout>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112576956904134"/>
                  <c:y val="-0.0765027322404372"/>
                </c:manualLayout>
              </c:layout>
              <c:showLegendKey val="0"/>
              <c:showVal val="1"/>
              <c:showCatName val="1"/>
              <c:showSerName val="0"/>
              <c:showPercent val="1"/>
              <c:showBubbleSize val="0"/>
              <c:extLst>
                <c:ext xmlns:c15="http://schemas.microsoft.com/office/drawing/2012/chart" uri="{CE6537A1-D6FC-4f65-9D91-7224C49458BB}">
                  <c15:layout/>
                </c:ext>
              </c:extLst>
            </c:dLbl>
            <c:dLbl>
              <c:idx val="3"/>
              <c:layout>
                <c:manualLayout>
                  <c:x val="0.098504837291117"/>
                  <c:y val="-0.0819672131147541"/>
                </c:manualLayout>
              </c:layout>
              <c:showLegendKey val="0"/>
              <c:showVal val="1"/>
              <c:showCatName val="1"/>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整理!$A$38:$A$41</c:f>
              <c:strCache>
                <c:ptCount val="4"/>
                <c:pt idx="0">
                  <c:v>校园招聘</c:v>
                </c:pt>
                <c:pt idx="1">
                  <c:v>社会招聘</c:v>
                </c:pt>
                <c:pt idx="2">
                  <c:v>定向（订单）培养</c:v>
                </c:pt>
                <c:pt idx="3">
                  <c:v>其他</c:v>
                </c:pt>
              </c:strCache>
            </c:strRef>
          </c:cat>
          <c:val>
            <c:numRef>
              <c:f>整理!$B$38:$B$41</c:f>
              <c:numCache>
                <c:formatCode>General</c:formatCode>
                <c:ptCount val="4"/>
                <c:pt idx="0">
                  <c:v>35</c:v>
                </c:pt>
                <c:pt idx="1">
                  <c:v>9</c:v>
                </c:pt>
                <c:pt idx="2">
                  <c:v>2</c:v>
                </c:pt>
                <c:pt idx="3">
                  <c:v>1</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整理!$A$45:$A$49</c:f>
              <c:strCache>
                <c:ptCount val="5"/>
                <c:pt idx="0">
                  <c:v>非常关注</c:v>
                </c:pt>
                <c:pt idx="1">
                  <c:v>关注</c:v>
                </c:pt>
                <c:pt idx="2">
                  <c:v>比较关注</c:v>
                </c:pt>
                <c:pt idx="3">
                  <c:v>不太关注</c:v>
                </c:pt>
                <c:pt idx="4">
                  <c:v>一点也不关注</c:v>
                </c:pt>
              </c:strCache>
            </c:strRef>
          </c:cat>
          <c:val>
            <c:numRef>
              <c:f>整理!$C$45:$C$49</c:f>
              <c:numCache>
                <c:formatCode>0.00%</c:formatCode>
                <c:ptCount val="5"/>
                <c:pt idx="0">
                  <c:v>0.0212765957446809</c:v>
                </c:pt>
                <c:pt idx="1">
                  <c:v>0.191489361702128</c:v>
                </c:pt>
                <c:pt idx="2">
                  <c:v>0.404255319148936</c:v>
                </c:pt>
                <c:pt idx="3">
                  <c:v>0.361702127659574</c:v>
                </c:pt>
                <c:pt idx="4">
                  <c:v>0.0212765957446809</c:v>
                </c:pt>
              </c:numCache>
            </c:numRef>
          </c:val>
        </c:ser>
        <c:dLbls>
          <c:showLegendKey val="0"/>
          <c:showVal val="1"/>
          <c:showCatName val="0"/>
          <c:showSerName val="0"/>
          <c:showPercent val="0"/>
          <c:showBubbleSize val="0"/>
        </c:dLbls>
        <c:gapWidth val="150"/>
        <c:axId val="408330952"/>
        <c:axId val="408331344"/>
      </c:barChart>
      <c:catAx>
        <c:axId val="408330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8331344"/>
        <c:crosses val="autoZero"/>
        <c:auto val="1"/>
        <c:lblAlgn val="ctr"/>
        <c:lblOffset val="100"/>
        <c:noMultiLvlLbl val="0"/>
      </c:catAx>
      <c:valAx>
        <c:axId val="4083313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8330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整理!$C$52</c:f>
              <c:strCache>
                <c:ptCount val="1"/>
                <c:pt idx="0">
                  <c:v>比例</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整理!$A$53:$A$57</c:f>
              <c:strCache>
                <c:ptCount val="5"/>
                <c:pt idx="0">
                  <c:v>2001-3000元</c:v>
                </c:pt>
                <c:pt idx="1">
                  <c:v>3001-4000元</c:v>
                </c:pt>
                <c:pt idx="2">
                  <c:v>4001-5000元</c:v>
                </c:pt>
                <c:pt idx="3">
                  <c:v>5001-7000元</c:v>
                </c:pt>
                <c:pt idx="4">
                  <c:v>7000元以上</c:v>
                </c:pt>
              </c:strCache>
            </c:strRef>
          </c:cat>
          <c:val>
            <c:numRef>
              <c:f>整理!$C$53:$C$57</c:f>
              <c:numCache>
                <c:formatCode>0.00%</c:formatCode>
                <c:ptCount val="5"/>
                <c:pt idx="0">
                  <c:v>0.319148936170213</c:v>
                </c:pt>
                <c:pt idx="1">
                  <c:v>0.446808510638298</c:v>
                </c:pt>
                <c:pt idx="2">
                  <c:v>0.148936170212766</c:v>
                </c:pt>
                <c:pt idx="3">
                  <c:v>0.0638297872340425</c:v>
                </c:pt>
                <c:pt idx="4">
                  <c:v>0.0212765957446809</c:v>
                </c:pt>
              </c:numCache>
            </c:numRef>
          </c:val>
        </c:ser>
        <c:dLbls>
          <c:showLegendKey val="0"/>
          <c:showVal val="1"/>
          <c:showCatName val="0"/>
          <c:showSerName val="0"/>
          <c:showPercent val="0"/>
          <c:showBubbleSize val="0"/>
        </c:dLbls>
        <c:gapWidth val="150"/>
        <c:axId val="408332128"/>
        <c:axId val="408332520"/>
      </c:barChart>
      <c:catAx>
        <c:axId val="408332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8332520"/>
        <c:crosses val="autoZero"/>
        <c:auto val="1"/>
        <c:lblAlgn val="ctr"/>
        <c:lblOffset val="100"/>
        <c:noMultiLvlLbl val="0"/>
      </c:catAx>
      <c:valAx>
        <c:axId val="4083325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8332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整理!$B$60</c:f>
              <c:strCache>
                <c:ptCount val="1"/>
                <c:pt idx="0">
                  <c:v>频数</c:v>
                </c:pt>
              </c:strCache>
            </c:strRef>
          </c:tx>
          <c:spPr/>
          <c:explosion val="0"/>
          <c:dPt>
            <c:idx val="0"/>
            <c:bubble3D val="0"/>
            <c:spPr>
              <a:solidFill>
                <a:schemeClr val="accent2"/>
              </a:solidFill>
              <a:ln w="19050">
                <a:solidFill>
                  <a:schemeClr val="lt1"/>
                </a:solidFill>
              </a:ln>
              <a:effectLst/>
            </c:spPr>
          </c:dPt>
          <c:dPt>
            <c:idx val="1"/>
            <c:bubble3D val="0"/>
            <c:spPr>
              <a:solidFill>
                <a:schemeClr val="accent4"/>
              </a:solidFill>
              <a:ln w="19050">
                <a:solidFill>
                  <a:schemeClr val="lt1"/>
                </a:solidFill>
              </a:ln>
              <a:effectLst/>
            </c:spPr>
          </c:dPt>
          <c:dPt>
            <c:idx val="2"/>
            <c:bubble3D val="0"/>
            <c:spPr>
              <a:solidFill>
                <a:schemeClr val="accent6"/>
              </a:solidFill>
              <a:ln w="19050">
                <a:solidFill>
                  <a:schemeClr val="lt1"/>
                </a:solidFill>
              </a:ln>
              <a:effectLst/>
            </c:spPr>
          </c:dPt>
          <c:dPt>
            <c:idx val="3"/>
            <c:bubble3D val="0"/>
            <c:spPr>
              <a:solidFill>
                <a:schemeClr val="accent2">
                  <a:lumMod val="60000"/>
                </a:schemeClr>
              </a:solidFill>
              <a:ln w="19050">
                <a:solidFill>
                  <a:schemeClr val="lt1"/>
                </a:solidFill>
              </a:ln>
              <a:effectLst/>
            </c:spPr>
          </c:dPt>
          <c:dLbls>
            <c:dLbl>
              <c:idx val="0"/>
              <c:layout>
                <c:manualLayout>
                  <c:x val="0.0105820105820106"/>
                  <c:y val="-0.0941176470588235"/>
                </c:manualLayout>
              </c:layou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0811287477954145"/>
                  <c:y val="-0.0366013071895425"/>
                </c:manualLayout>
              </c:layou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105820105820106"/>
                  <c:y val="0.0627450980392158"/>
                </c:manualLayout>
              </c:layou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0987654320987655"/>
                  <c:y val="0.0313725490196078"/>
                </c:manualLayout>
              </c:layou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整理!$A$61:$A$64</c:f>
              <c:strCache>
                <c:ptCount val="4"/>
                <c:pt idx="0">
                  <c:v>博士</c:v>
                </c:pt>
                <c:pt idx="1">
                  <c:v>硕士</c:v>
                </c:pt>
                <c:pt idx="2">
                  <c:v>本科</c:v>
                </c:pt>
                <c:pt idx="3">
                  <c:v>高职专科</c:v>
                </c:pt>
              </c:strCache>
            </c:strRef>
          </c:cat>
          <c:val>
            <c:numRef>
              <c:f>整理!$B$61:$B$64</c:f>
              <c:numCache>
                <c:formatCode>General</c:formatCode>
                <c:ptCount val="4"/>
                <c:pt idx="0">
                  <c:v>2</c:v>
                </c:pt>
                <c:pt idx="1">
                  <c:v>10</c:v>
                </c:pt>
                <c:pt idx="2">
                  <c:v>40</c:v>
                </c:pt>
                <c:pt idx="3">
                  <c:v>26</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整理!$F$74</c:f>
              <c:strCache>
                <c:ptCount val="1"/>
                <c:pt idx="0">
                  <c:v>比例</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整理!$D$75:$D$82</c:f>
              <c:strCache>
                <c:ptCount val="8"/>
                <c:pt idx="0">
                  <c:v>在校获奖情况</c:v>
                </c:pt>
                <c:pt idx="1">
                  <c:v>是否学生干部</c:v>
                </c:pt>
                <c:pt idx="2">
                  <c:v>学习成绩</c:v>
                </c:pt>
                <c:pt idx="3">
                  <c:v>学历层次</c:v>
                </c:pt>
                <c:pt idx="4">
                  <c:v>社会关系</c:v>
                </c:pt>
                <c:pt idx="5">
                  <c:v>所学专业</c:v>
                </c:pt>
                <c:pt idx="6">
                  <c:v>社会适应能力</c:v>
                </c:pt>
                <c:pt idx="7">
                  <c:v>综合素质</c:v>
                </c:pt>
              </c:strCache>
            </c:strRef>
          </c:cat>
          <c:val>
            <c:numRef>
              <c:f>整理!$F$75:$F$82</c:f>
              <c:numCache>
                <c:formatCode>0.00%</c:formatCode>
                <c:ptCount val="8"/>
                <c:pt idx="0">
                  <c:v>0.024</c:v>
                </c:pt>
                <c:pt idx="1">
                  <c:v>0.032</c:v>
                </c:pt>
                <c:pt idx="2">
                  <c:v>0.048</c:v>
                </c:pt>
                <c:pt idx="3">
                  <c:v>0.056</c:v>
                </c:pt>
                <c:pt idx="4">
                  <c:v>0.08</c:v>
                </c:pt>
                <c:pt idx="5">
                  <c:v>0.104</c:v>
                </c:pt>
                <c:pt idx="6">
                  <c:v>0.32</c:v>
                </c:pt>
                <c:pt idx="7">
                  <c:v>0.336</c:v>
                </c:pt>
              </c:numCache>
            </c:numRef>
          </c:val>
        </c:ser>
        <c:dLbls>
          <c:showLegendKey val="0"/>
          <c:showVal val="1"/>
          <c:showCatName val="0"/>
          <c:showSerName val="0"/>
          <c:showPercent val="0"/>
          <c:showBubbleSize val="0"/>
        </c:dLbls>
        <c:gapWidth val="150"/>
        <c:axId val="408333696"/>
        <c:axId val="408334088"/>
      </c:barChart>
      <c:catAx>
        <c:axId val="4083336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8334088"/>
        <c:crosses val="autoZero"/>
        <c:auto val="1"/>
        <c:lblAlgn val="ctr"/>
        <c:lblOffset val="100"/>
        <c:noMultiLvlLbl val="0"/>
      </c:catAx>
      <c:valAx>
        <c:axId val="40833408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8333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Sheet2!$A$327</c:f>
              <c:strCache>
                <c:ptCount val="1"/>
                <c:pt idx="0">
                  <c:v>本科生毕业</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Sheet2!$B$326:$F$326</c:f>
              <c:strCache>
                <c:ptCount val="5"/>
                <c:pt idx="0">
                  <c:v>出国</c:v>
                </c:pt>
                <c:pt idx="1">
                  <c:v>待就业</c:v>
                </c:pt>
                <c:pt idx="2">
                  <c:v>就业</c:v>
                </c:pt>
                <c:pt idx="3">
                  <c:v>灵活就业</c:v>
                </c:pt>
                <c:pt idx="4">
                  <c:v>升学</c:v>
                </c:pt>
              </c:strCache>
            </c:strRef>
          </c:cat>
          <c:val>
            <c:numRef>
              <c:f>Sheet2!$B$327:$F$327</c:f>
              <c:numCache>
                <c:formatCode>General</c:formatCode>
                <c:ptCount val="5"/>
                <c:pt idx="0">
                  <c:v>65</c:v>
                </c:pt>
                <c:pt idx="1">
                  <c:v>256</c:v>
                </c:pt>
                <c:pt idx="2">
                  <c:v>469</c:v>
                </c:pt>
                <c:pt idx="3">
                  <c:v>2305</c:v>
                </c:pt>
                <c:pt idx="4">
                  <c:v>171</c:v>
                </c:pt>
              </c:numCache>
            </c:numRef>
          </c:val>
        </c:ser>
        <c:ser>
          <c:idx val="1"/>
          <c:order val="1"/>
          <c:tx>
            <c:strRef>
              <c:f>Sheet2!$A$328</c:f>
              <c:strCache>
                <c:ptCount val="1"/>
                <c:pt idx="0">
                  <c:v>专科生毕业</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Sheet2!$B$326:$F$326</c:f>
              <c:strCache>
                <c:ptCount val="5"/>
                <c:pt idx="0">
                  <c:v>出国</c:v>
                </c:pt>
                <c:pt idx="1">
                  <c:v>待就业</c:v>
                </c:pt>
                <c:pt idx="2">
                  <c:v>就业</c:v>
                </c:pt>
                <c:pt idx="3">
                  <c:v>灵活就业</c:v>
                </c:pt>
                <c:pt idx="4">
                  <c:v>升学</c:v>
                </c:pt>
              </c:strCache>
            </c:strRef>
          </c:cat>
          <c:val>
            <c:numRef>
              <c:f>Sheet2!$B$328:$F$328</c:f>
              <c:numCache>
                <c:formatCode>General</c:formatCode>
                <c:ptCount val="5"/>
                <c:pt idx="0">
                  <c:v>63</c:v>
                </c:pt>
                <c:pt idx="1">
                  <c:v>12</c:v>
                </c:pt>
                <c:pt idx="2">
                  <c:v>5</c:v>
                </c:pt>
                <c:pt idx="3">
                  <c:v>84</c:v>
                </c:pt>
                <c:pt idx="4">
                  <c:v>30</c:v>
                </c:pt>
              </c:numCache>
            </c:numRef>
          </c:val>
        </c:ser>
        <c:ser>
          <c:idx val="2"/>
          <c:order val="2"/>
          <c:tx>
            <c:strRef>
              <c:f>Sheet2!$A$329</c:f>
              <c:strCache>
                <c:ptCount val="1"/>
                <c:pt idx="0">
                  <c:v>总计</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Sheet2!$B$326:$F$326</c:f>
              <c:strCache>
                <c:ptCount val="5"/>
                <c:pt idx="0">
                  <c:v>出国</c:v>
                </c:pt>
                <c:pt idx="1">
                  <c:v>待就业</c:v>
                </c:pt>
                <c:pt idx="2">
                  <c:v>就业</c:v>
                </c:pt>
                <c:pt idx="3">
                  <c:v>灵活就业</c:v>
                </c:pt>
                <c:pt idx="4">
                  <c:v>升学</c:v>
                </c:pt>
              </c:strCache>
            </c:strRef>
          </c:cat>
          <c:val>
            <c:numRef>
              <c:f>Sheet2!$B$329:$F$329</c:f>
              <c:numCache>
                <c:formatCode>General</c:formatCode>
                <c:ptCount val="5"/>
                <c:pt idx="0">
                  <c:v>128</c:v>
                </c:pt>
                <c:pt idx="1">
                  <c:v>268</c:v>
                </c:pt>
                <c:pt idx="2">
                  <c:v>474</c:v>
                </c:pt>
                <c:pt idx="3">
                  <c:v>2389</c:v>
                </c:pt>
                <c:pt idx="4">
                  <c:v>201</c:v>
                </c:pt>
              </c:numCache>
            </c:numRef>
          </c:val>
        </c:ser>
        <c:dLbls>
          <c:showLegendKey val="0"/>
          <c:showVal val="0"/>
          <c:showCatName val="0"/>
          <c:showSerName val="0"/>
          <c:showPercent val="0"/>
          <c:showBubbleSize val="0"/>
        </c:dLbls>
        <c:gapWidth val="219"/>
        <c:overlap val="-27"/>
        <c:axId val="319585688"/>
        <c:axId val="319586080"/>
      </c:barChart>
      <c:catAx>
        <c:axId val="319585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9586080"/>
        <c:crosses val="autoZero"/>
        <c:auto val="1"/>
        <c:lblAlgn val="ctr"/>
        <c:lblOffset val="100"/>
        <c:noMultiLvlLbl val="0"/>
      </c:catAx>
      <c:valAx>
        <c:axId val="319586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95856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整理!$C$99</c:f>
              <c:strCache>
                <c:ptCount val="1"/>
                <c:pt idx="0">
                  <c:v>比例</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整理!$A$100:$A$103</c:f>
              <c:strCache>
                <c:ptCount val="4"/>
                <c:pt idx="0">
                  <c:v>非常满意</c:v>
                </c:pt>
                <c:pt idx="1">
                  <c:v>满意</c:v>
                </c:pt>
                <c:pt idx="2">
                  <c:v>比较满意</c:v>
                </c:pt>
                <c:pt idx="3">
                  <c:v>不太满意</c:v>
                </c:pt>
              </c:strCache>
            </c:strRef>
          </c:cat>
          <c:val>
            <c:numRef>
              <c:f>整理!$C$100:$C$103</c:f>
              <c:numCache>
                <c:formatCode>0.00%</c:formatCode>
                <c:ptCount val="4"/>
                <c:pt idx="0">
                  <c:v>0.25531914893617</c:v>
                </c:pt>
                <c:pt idx="1">
                  <c:v>0.468085106382979</c:v>
                </c:pt>
                <c:pt idx="2">
                  <c:v>0.234042553191489</c:v>
                </c:pt>
                <c:pt idx="3">
                  <c:v>0.0425531914893617</c:v>
                </c:pt>
              </c:numCache>
            </c:numRef>
          </c:val>
        </c:ser>
        <c:dLbls>
          <c:showLegendKey val="0"/>
          <c:showVal val="1"/>
          <c:showCatName val="0"/>
          <c:showSerName val="0"/>
          <c:showPercent val="0"/>
          <c:showBubbleSize val="0"/>
        </c:dLbls>
        <c:gapWidth val="150"/>
        <c:axId val="408334872"/>
        <c:axId val="408335264"/>
      </c:barChart>
      <c:catAx>
        <c:axId val="4083348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8335264"/>
        <c:crosses val="autoZero"/>
        <c:auto val="1"/>
        <c:lblAlgn val="ctr"/>
        <c:lblOffset val="100"/>
        <c:noMultiLvlLbl val="0"/>
      </c:catAx>
      <c:valAx>
        <c:axId val="4083352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8334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整理!$F$113</c:f>
              <c:strCache>
                <c:ptCount val="1"/>
                <c:pt idx="0">
                  <c:v>比例</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整理!$D$114:$D$117</c:f>
              <c:strCache>
                <c:ptCount val="4"/>
                <c:pt idx="0">
                  <c:v>及时更新发布招聘信息</c:v>
                </c:pt>
                <c:pt idx="1">
                  <c:v>增加校园招聘会场次</c:v>
                </c:pt>
                <c:pt idx="2">
                  <c:v>加强应届毕业生就业指导</c:v>
                </c:pt>
                <c:pt idx="3">
                  <c:v>加大对应届毕业生的推荐力度</c:v>
                </c:pt>
              </c:strCache>
            </c:strRef>
          </c:cat>
          <c:val>
            <c:numRef>
              <c:f>整理!$F$114:$F$117</c:f>
              <c:numCache>
                <c:formatCode>0.00%</c:formatCode>
                <c:ptCount val="4"/>
                <c:pt idx="0">
                  <c:v>0.170212765957447</c:v>
                </c:pt>
                <c:pt idx="1">
                  <c:v>0.234042553191489</c:v>
                </c:pt>
                <c:pt idx="2">
                  <c:v>0.276595744680851</c:v>
                </c:pt>
                <c:pt idx="3">
                  <c:v>0.319148936170213</c:v>
                </c:pt>
              </c:numCache>
            </c:numRef>
          </c:val>
        </c:ser>
        <c:dLbls>
          <c:showLegendKey val="0"/>
          <c:showVal val="1"/>
          <c:showCatName val="0"/>
          <c:showSerName val="0"/>
          <c:showPercent val="0"/>
          <c:showBubbleSize val="0"/>
        </c:dLbls>
        <c:gapWidth val="150"/>
        <c:axId val="408336048"/>
        <c:axId val="408336440"/>
      </c:barChart>
      <c:catAx>
        <c:axId val="4083360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8336440"/>
        <c:crosses val="autoZero"/>
        <c:auto val="1"/>
        <c:lblAlgn val="ctr"/>
        <c:lblOffset val="100"/>
        <c:noMultiLvlLbl val="0"/>
      </c:catAx>
      <c:valAx>
        <c:axId val="40833644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8336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dLbl>
              <c:idx val="5"/>
              <c:layout>
                <c:manualLayout>
                  <c:x val="-0.00396825272832998"/>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0396825272832998"/>
                  <c:y val="0.017137955957342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0"/>
                  <c:y val="0.020565547148810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0.0138888845491549"/>
                  <c:y val="-7.85480574106241e-1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6"/>
              <c:layout>
                <c:manualLayout>
                  <c:x val="0.00595237909249497"/>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Sheet2!$A$22:$A$39</c:f>
              <c:strCache>
                <c:ptCount val="18"/>
                <c:pt idx="0">
                  <c:v>适应能力</c:v>
                </c:pt>
                <c:pt idx="1">
                  <c:v>创新能力</c:v>
                </c:pt>
                <c:pt idx="2">
                  <c:v>敬业精神与职业道德</c:v>
                </c:pt>
                <c:pt idx="3">
                  <c:v>专业知识与技能</c:v>
                </c:pt>
                <c:pt idx="4">
                  <c:v>吃苦耐劳精神</c:v>
                </c:pt>
                <c:pt idx="5">
                  <c:v>团队合作精神</c:v>
                </c:pt>
                <c:pt idx="6">
                  <c:v>组织协调能力</c:v>
                </c:pt>
                <c:pt idx="7">
                  <c:v>自主学习能力</c:v>
                </c:pt>
                <c:pt idx="8">
                  <c:v>抗压抗挫能力</c:v>
                </c:pt>
                <c:pt idx="9">
                  <c:v>灵活应变能力</c:v>
                </c:pt>
                <c:pt idx="10">
                  <c:v>语言表达能力</c:v>
                </c:pt>
                <c:pt idx="11">
                  <c:v>执行力</c:v>
                </c:pt>
                <c:pt idx="12">
                  <c:v>人才培养</c:v>
                </c:pt>
                <c:pt idx="13">
                  <c:v>就业网站建设及信息服务</c:v>
                </c:pt>
                <c:pt idx="14">
                  <c:v>档案管理及传递</c:v>
                </c:pt>
                <c:pt idx="15">
                  <c:v>招聘场地安排对接</c:v>
                </c:pt>
                <c:pt idx="16">
                  <c:v>组织毕业生参会</c:v>
                </c:pt>
                <c:pt idx="17">
                  <c:v>个性化服务</c:v>
                </c:pt>
              </c:strCache>
            </c:strRef>
          </c:cat>
          <c:val>
            <c:numRef>
              <c:f>Sheet2!$B$22:$B$39</c:f>
              <c:numCache>
                <c:formatCode>0.00%</c:formatCode>
                <c:ptCount val="18"/>
                <c:pt idx="0">
                  <c:v>0.194220826054136</c:v>
                </c:pt>
                <c:pt idx="1">
                  <c:v>0.186027366240251</c:v>
                </c:pt>
                <c:pt idx="2">
                  <c:v>0.2240562465715</c:v>
                </c:pt>
                <c:pt idx="3">
                  <c:v>0.19333497602157</c:v>
                </c:pt>
                <c:pt idx="4">
                  <c:v>0.18663305517664</c:v>
                </c:pt>
                <c:pt idx="5">
                  <c:v>0.203794136392756</c:v>
                </c:pt>
                <c:pt idx="6">
                  <c:v>0.200253138793471</c:v>
                </c:pt>
                <c:pt idx="7">
                  <c:v>0.211856731552628</c:v>
                </c:pt>
                <c:pt idx="8">
                  <c:v>0.174692916917864</c:v>
                </c:pt>
                <c:pt idx="9">
                  <c:v>0.187539521881292</c:v>
                </c:pt>
                <c:pt idx="10">
                  <c:v>0.182490686628028</c:v>
                </c:pt>
                <c:pt idx="11">
                  <c:v>0.203859874921847</c:v>
                </c:pt>
                <c:pt idx="12">
                  <c:v>0.220917463469984</c:v>
                </c:pt>
                <c:pt idx="13">
                  <c:v>0.238737480599213</c:v>
                </c:pt>
                <c:pt idx="14">
                  <c:v>0.224183683352949</c:v>
                </c:pt>
                <c:pt idx="15">
                  <c:v>0.21786765991801</c:v>
                </c:pt>
                <c:pt idx="16">
                  <c:v>0.202893368785785</c:v>
                </c:pt>
                <c:pt idx="17">
                  <c:v>0.226879621344406</c:v>
                </c:pt>
              </c:numCache>
            </c:numRef>
          </c:val>
        </c:ser>
        <c:dLbls>
          <c:showLegendKey val="0"/>
          <c:showVal val="0"/>
          <c:showCatName val="0"/>
          <c:showSerName val="0"/>
          <c:showPercent val="0"/>
          <c:showBubbleSize val="0"/>
        </c:dLbls>
        <c:gapWidth val="219"/>
        <c:overlap val="-27"/>
        <c:axId val="408337224"/>
        <c:axId val="408337616"/>
      </c:barChart>
      <c:catAx>
        <c:axId val="408337224"/>
        <c:scaling>
          <c:orientation val="minMax"/>
        </c:scaling>
        <c:delete val="0"/>
        <c:axPos val="b"/>
        <c:numFmt formatCode="General" sourceLinked="1"/>
        <c:majorTickMark val="none"/>
        <c:minorTickMark val="none"/>
        <c:tickLblPos val="low"/>
        <c:spPr>
          <a:noFill/>
          <a:ln w="9525" cap="flat" cmpd="sng" algn="ctr">
            <a:solidFill>
              <a:srgbClr val="FFC000"/>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8337616"/>
        <c:crossesAt val="0.2045"/>
        <c:auto val="1"/>
        <c:lblAlgn val="ctr"/>
        <c:lblOffset val="100"/>
        <c:noMultiLvlLbl val="0"/>
      </c:catAx>
      <c:valAx>
        <c:axId val="408337616"/>
        <c:scaling>
          <c:orientation val="minMax"/>
          <c:min val="0.1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8337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cap="rnd">
              <a:noFill/>
              <a:round/>
            </a:ln>
            <a:effectLst/>
          </c:spPr>
          <c:marker>
            <c:symbol val="circle"/>
            <c:size val="5"/>
            <c:spPr>
              <a:solidFill>
                <a:schemeClr val="accent2"/>
              </a:solidFill>
              <a:ln w="9525">
                <a:solidFill>
                  <a:schemeClr val="accent2"/>
                </a:solidFill>
              </a:ln>
              <a:effectLst/>
            </c:spPr>
          </c:marker>
          <c:dLbls>
            <c:dLbl>
              <c:idx val="0"/>
              <c:layout>
                <c:manualLayout>
                  <c:x val="-0.0734907929631229"/>
                  <c:y val="-0.0172087298719205"/>
                </c:manualLayout>
              </c:layout>
              <c:tx>
                <c:rich>
                  <a:bodyPr rot="0" spcFirstLastPara="1" vertOverflow="ellipsis" vert="horz" wrap="square" lIns="38100" tIns="19050" rIns="38100" bIns="19050" anchor="ctr" anchorCtr="1"/>
                  <a:lstStyle/>
                  <a:p>
                    <a:fld id="{dc45b757-0588-4768-af8e-484d24dcc725}"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1"/>
              <c:layout>
                <c:manualLayout>
                  <c:x val="-0.120345512745816"/>
                  <c:y val="-0.024380154712412"/>
                </c:manualLayout>
              </c:layout>
              <c:tx>
                <c:rich>
                  <a:bodyPr rot="0" spcFirstLastPara="1" vertOverflow="ellipsis" vert="horz" wrap="square" lIns="38100" tIns="19050" rIns="38100" bIns="19050" anchor="ctr" anchorCtr="1"/>
                  <a:lstStyle/>
                  <a:p>
                    <a:fld id="{a49f6b65-93b4-4790-a814-614b626686d0}"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2"/>
              <c:layout>
                <c:manualLayout>
                  <c:x val="-0.0534066871461385"/>
                  <c:y val="-0.0432771335645068"/>
                </c:manualLayout>
              </c:layout>
              <c:tx>
                <c:rich>
                  <a:bodyPr rot="0" spcFirstLastPara="1" vertOverflow="ellipsis" vert="horz" wrap="square" lIns="38100" tIns="19050" rIns="38100" bIns="19050" anchor="ctr" anchorCtr="1"/>
                  <a:lstStyle/>
                  <a:p>
                    <a:fld id="{79addaf3-84ac-40af-952e-eacc53729a09}"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3"/>
              <c:layout>
                <c:manualLayout>
                  <c:x val="-0.0755580674839316"/>
                  <c:y val="-0.00164963812080514"/>
                </c:manualLayout>
              </c:layout>
              <c:tx>
                <c:rich>
                  <a:bodyPr rot="0" spcFirstLastPara="1" vertOverflow="ellipsis" vert="horz" wrap="square" lIns="38100" tIns="19050" rIns="38100" bIns="19050" anchor="ctr" anchorCtr="1"/>
                  <a:lstStyle/>
                  <a:p>
                    <a:fld id="{51abd036-6faf-4ef7-8a4a-e2dc6e369a8a}"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4"/>
              <c:layout>
                <c:manualLayout>
                  <c:x val="-0.0609936991003782"/>
                  <c:y val="-0.0243933865237689"/>
                </c:manualLayout>
              </c:layout>
              <c:tx>
                <c:rich>
                  <a:bodyPr rot="0" spcFirstLastPara="1" vertOverflow="ellipsis" vert="horz" wrap="square" lIns="38100" tIns="19050" rIns="38100" bIns="19050" anchor="ctr" anchorCtr="1"/>
                  <a:lstStyle/>
                  <a:p>
                    <a:fld id="{112eb370-9f12-4f99-ae51-662d589cce21}"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5"/>
              <c:layout>
                <c:manualLayout>
                  <c:x val="-0.152332631356935"/>
                  <c:y val="-0.0466082963023378"/>
                </c:manualLayout>
              </c:layout>
              <c:tx>
                <c:rich>
                  <a:bodyPr rot="0" spcFirstLastPara="1" vertOverflow="ellipsis" vert="horz" wrap="square" lIns="38100" tIns="19050" rIns="38100" bIns="19050" anchor="ctr" anchorCtr="1"/>
                  <a:lstStyle/>
                  <a:p>
                    <a:fld id="{4b05ce04-d32b-44b9-82a6-7f6c13d121ab}"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6"/>
              <c:layout>
                <c:manualLayout>
                  <c:x val="-0.125099099514959"/>
                  <c:y val="0.0280362560307776"/>
                </c:manualLayout>
              </c:layout>
              <c:tx>
                <c:rich>
                  <a:bodyPr rot="0" spcFirstLastPara="1" vertOverflow="ellipsis" vert="horz" wrap="square" lIns="38100" tIns="19050" rIns="38100" bIns="19050" anchor="ctr" anchorCtr="1"/>
                  <a:lstStyle/>
                  <a:p>
                    <a:fld id="{fd2152f7-9f97-4bd2-9ec6-d02724370356}"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7"/>
              <c:layout>
                <c:manualLayout>
                  <c:x val="-0.00441282517072316"/>
                  <c:y val="0.0131161956937178"/>
                </c:manualLayout>
              </c:layout>
              <c:tx>
                <c:rich>
                  <a:bodyPr rot="0" spcFirstLastPara="1" vertOverflow="ellipsis" vert="horz" wrap="square" lIns="38100" tIns="19050" rIns="38100" bIns="19050" anchor="ctr" anchorCtr="1"/>
                  <a:lstStyle/>
                  <a:p>
                    <a:fld id="{fe813a88-8676-4e37-8a25-68fc3352be7e}"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8"/>
              <c:layout/>
              <c:tx>
                <c:rich>
                  <a:bodyPr rot="0" spcFirstLastPara="1" vertOverflow="ellipsis" vert="horz" wrap="square" lIns="38100" tIns="19050" rIns="38100" bIns="19050" anchor="ctr" anchorCtr="1"/>
                  <a:lstStyle/>
                  <a:p>
                    <a:fld id="{a32041f1-7b3d-4d4b-90ce-352fc1f3385e}"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t"/>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9"/>
              <c:layout>
                <c:manualLayout>
                  <c:x val="-0.160332460225559"/>
                  <c:y val="-0.0183327830924349"/>
                </c:manualLayout>
              </c:layout>
              <c:tx>
                <c:rich>
                  <a:bodyPr rot="0" spcFirstLastPara="1" vertOverflow="ellipsis" vert="horz" wrap="square" lIns="38100" tIns="19050" rIns="38100" bIns="19050" anchor="ctr" anchorCtr="1"/>
                  <a:lstStyle/>
                  <a:p>
                    <a:fld id="{ab2b775b-dd71-4bfc-9d8c-d016859f7702}"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10"/>
              <c:layout>
                <c:manualLayout>
                  <c:x val="-0.166812435806926"/>
                  <c:y val="0.00306666537882819"/>
                </c:manualLayout>
              </c:layout>
              <c:tx>
                <c:rich>
                  <a:bodyPr rot="0" spcFirstLastPara="1" vertOverflow="ellipsis" vert="horz" wrap="square" lIns="38100" tIns="19050" rIns="38100" bIns="19050" anchor="ctr" anchorCtr="1"/>
                  <a:lstStyle/>
                  <a:p>
                    <a:fld id="{63322667-67e7-4f47-afb5-d6f26258adfc}"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11"/>
              <c:layout>
                <c:manualLayout>
                  <c:x val="-0.0945037368374734"/>
                  <c:y val="0.0254577881357072"/>
                </c:manualLayout>
              </c:layout>
              <c:tx>
                <c:rich>
                  <a:bodyPr rot="0" spcFirstLastPara="1" vertOverflow="ellipsis" vert="horz" wrap="square" lIns="38100" tIns="19050" rIns="38100" bIns="19050" anchor="ctr" anchorCtr="1"/>
                  <a:lstStyle/>
                  <a:p>
                    <a:fld id="{ca6a0005-8107-4e1b-ab64-c034e99ee32a}"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12"/>
              <c:layout>
                <c:manualLayout>
                  <c:x val="-0.0905039162251871"/>
                  <c:y val="-0.012316213393977"/>
                </c:manualLayout>
              </c:layout>
              <c:tx>
                <c:rich>
                  <a:bodyPr rot="0" spcFirstLastPara="1" vertOverflow="ellipsis" vert="horz" wrap="square" lIns="38100" tIns="19050" rIns="38100" bIns="19050" anchor="ctr" anchorCtr="1"/>
                  <a:lstStyle/>
                  <a:p>
                    <a:fld id="{dd73696f-0ad4-4796-85b8-6a391f09994a}"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13"/>
              <c:layout>
                <c:manualLayout>
                  <c:x val="-0.0148193766502122"/>
                  <c:y val="0.00187978487243883"/>
                </c:manualLayout>
              </c:layout>
              <c:tx>
                <c:rich>
                  <a:bodyPr rot="0" spcFirstLastPara="1" vertOverflow="ellipsis" vert="horz" wrap="square" lIns="38100" tIns="19050" rIns="38100" bIns="19050" anchor="ctr" anchorCtr="1"/>
                  <a:lstStyle/>
                  <a:p>
                    <a:fld id="{1146eb64-cef5-40c7-837a-56ea1ada368d}"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14"/>
              <c:layout>
                <c:manualLayout>
                  <c:x val="-0.0168817724256691"/>
                  <c:y val="-0.0219912704751435"/>
                </c:manualLayout>
              </c:layout>
              <c:tx>
                <c:rich>
                  <a:bodyPr rot="0" spcFirstLastPara="1" vertOverflow="ellipsis" vert="horz" wrap="square" lIns="38100" tIns="19050" rIns="38100" bIns="19050" anchor="ctr" anchorCtr="1"/>
                  <a:lstStyle/>
                  <a:p>
                    <a:fld id="{f85dbeb7-7355-4bcd-bee9-c5b0844335db}"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15"/>
              <c:layout>
                <c:manualLayout>
                  <c:x val="-0.106047035983937"/>
                  <c:y val="0.0224517808933512"/>
                </c:manualLayout>
              </c:layout>
              <c:tx>
                <c:rich>
                  <a:bodyPr rot="0" spcFirstLastPara="1" vertOverflow="ellipsis" vert="horz" wrap="square" lIns="38100" tIns="19050" rIns="38100" bIns="19050" anchor="ctr" anchorCtr="1"/>
                  <a:lstStyle/>
                  <a:p>
                    <a:fld id="{f9905a47-001a-4436-9143-a43470995dde}"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16"/>
              <c:layout>
                <c:manualLayout>
                  <c:x val="-0.179193877399756"/>
                  <c:y val="-0.0117873747695822"/>
                </c:manualLayout>
              </c:layout>
              <c:tx>
                <c:rich>
                  <a:bodyPr rot="0" spcFirstLastPara="1" vertOverflow="ellipsis" vert="horz" wrap="square" lIns="38100" tIns="19050" rIns="38100" bIns="19050" anchor="ctr" anchorCtr="1"/>
                  <a:lstStyle/>
                  <a:p>
                    <a:fld id="{b0a1e69a-1155-4fee-91e9-ebf028004617}"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17"/>
              <c:layout>
                <c:manualLayout>
                  <c:x val="-0.00283342518509687"/>
                  <c:y val="0.0102511831625417"/>
                </c:manualLayout>
              </c:layout>
              <c:tx>
                <c:rich>
                  <a:bodyPr rot="0" spcFirstLastPara="1" vertOverflow="ellipsis" vert="horz" wrap="square" lIns="38100" tIns="19050" rIns="38100" bIns="19050" anchor="ctr" anchorCtr="1"/>
                  <a:lstStyle/>
                  <a:p>
                    <a:fld id="{8653cdef-07bf-4f11-ae89-28b60ab4e644}"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xVal>
            <c:numRef>
              <c:f>Sheet2!$F$93:$F$110</c:f>
              <c:numCache>
                <c:formatCode>General</c:formatCode>
                <c:ptCount val="18"/>
                <c:pt idx="0">
                  <c:v>0.0527739744629876</c:v>
                </c:pt>
                <c:pt idx="1">
                  <c:v>0.0505476352605123</c:v>
                </c:pt>
                <c:pt idx="2">
                  <c:v>0.0608808997215434</c:v>
                </c:pt>
                <c:pt idx="3">
                  <c:v>0.0525332699621034</c:v>
                </c:pt>
                <c:pt idx="4">
                  <c:v>0.0507122139677029</c:v>
                </c:pt>
                <c:pt idx="5">
                  <c:v>0.0553752487217828</c:v>
                </c:pt>
                <c:pt idx="6">
                  <c:v>0.0544130835375709</c:v>
                </c:pt>
                <c:pt idx="7">
                  <c:v>0.0575660291839866</c:v>
                </c:pt>
                <c:pt idx="8">
                  <c:v>0.0474678216728336</c:v>
                </c:pt>
                <c:pt idx="9">
                  <c:v>0.0509585204616807</c:v>
                </c:pt>
                <c:pt idx="10">
                  <c:v>0.0495866433662278</c:v>
                </c:pt>
                <c:pt idx="11">
                  <c:v>0.0553931112936088</c:v>
                </c:pt>
                <c:pt idx="12">
                  <c:v>0.0600280248645593</c:v>
                </c:pt>
                <c:pt idx="13">
                  <c:v>0.0648701066742917</c:v>
                </c:pt>
                <c:pt idx="14">
                  <c:v>0.0609155270351352</c:v>
                </c:pt>
                <c:pt idx="15">
                  <c:v>0.0591993276643726</c:v>
                </c:pt>
                <c:pt idx="16">
                  <c:v>0.0551304907951837</c:v>
                </c:pt>
                <c:pt idx="17">
                  <c:v>0.0616480713539165</c:v>
                </c:pt>
              </c:numCache>
            </c:numRef>
          </c:xVal>
          <c:yVal>
            <c:numRef>
              <c:f>Sheet2!$G$93:$G$110</c:f>
              <c:numCache>
                <c:formatCode>###0.00</c:formatCode>
                <c:ptCount val="18"/>
                <c:pt idx="0">
                  <c:v>3.80851063829787</c:v>
                </c:pt>
                <c:pt idx="1">
                  <c:v>3.76595744680851</c:v>
                </c:pt>
                <c:pt idx="2">
                  <c:v>3.76595744680851</c:v>
                </c:pt>
                <c:pt idx="3">
                  <c:v>3.78723404255319</c:v>
                </c:pt>
                <c:pt idx="4">
                  <c:v>3.59574468085106</c:v>
                </c:pt>
                <c:pt idx="5">
                  <c:v>3.82978723404255</c:v>
                </c:pt>
                <c:pt idx="6">
                  <c:v>3.72340425531915</c:v>
                </c:pt>
                <c:pt idx="7">
                  <c:v>3.70212765957447</c:v>
                </c:pt>
                <c:pt idx="8">
                  <c:v>3.51063829787234</c:v>
                </c:pt>
                <c:pt idx="9">
                  <c:v>3.72340425531915</c:v>
                </c:pt>
                <c:pt idx="10">
                  <c:v>3.82978723404255</c:v>
                </c:pt>
                <c:pt idx="11">
                  <c:v>3.68085106382979</c:v>
                </c:pt>
                <c:pt idx="12">
                  <c:v>3.93617021276596</c:v>
                </c:pt>
                <c:pt idx="13">
                  <c:v>3.87234042553191</c:v>
                </c:pt>
                <c:pt idx="14">
                  <c:v>3.95744680851064</c:v>
                </c:pt>
                <c:pt idx="15">
                  <c:v>3.91489361702128</c:v>
                </c:pt>
                <c:pt idx="16">
                  <c:v>3.53191489361702</c:v>
                </c:pt>
                <c:pt idx="17">
                  <c:v>3.74468085106383</c:v>
                </c:pt>
              </c:numCache>
            </c:numRef>
          </c:yVal>
          <c:smooth val="0"/>
          <c:extLst>
            <c:ext xmlns:c15="http://schemas.microsoft.com/office/drawing/2012/chart" uri="{02D57815-91ED-43cb-92C2-25804820EDAC}">
              <c15:datalabelsRange>
                <c15:f>Sheet2!$E$93:$E$110</c15:f>
                <c15:dlblRangeCache>
                  <c:ptCount val="18"/>
                  <c:pt idx="0">
                    <c:v>适应能力</c:v>
                  </c:pt>
                  <c:pt idx="1">
                    <c:v>创新能力</c:v>
                  </c:pt>
                  <c:pt idx="2">
                    <c:v>敬业精神与职业道德</c:v>
                  </c:pt>
                  <c:pt idx="3">
                    <c:v>专业知识与技能</c:v>
                  </c:pt>
                  <c:pt idx="4">
                    <c:v>吃苦耐劳精神</c:v>
                  </c:pt>
                  <c:pt idx="5">
                    <c:v>团队合作精神</c:v>
                  </c:pt>
                  <c:pt idx="6">
                    <c:v>组织协调能力</c:v>
                  </c:pt>
                  <c:pt idx="7">
                    <c:v>自主学习能力</c:v>
                  </c:pt>
                  <c:pt idx="8">
                    <c:v>抗压抗挫能力</c:v>
                  </c:pt>
                  <c:pt idx="9">
                    <c:v>灵活应变能力</c:v>
                  </c:pt>
                  <c:pt idx="10">
                    <c:v>语言表达能力</c:v>
                  </c:pt>
                  <c:pt idx="11">
                    <c:v>执行力</c:v>
                  </c:pt>
                  <c:pt idx="12">
                    <c:v>人才培养</c:v>
                  </c:pt>
                  <c:pt idx="13">
                    <c:v>就业网站建设及信息服务</c:v>
                  </c:pt>
                  <c:pt idx="14">
                    <c:v>档案管理及传递</c:v>
                  </c:pt>
                  <c:pt idx="15">
                    <c:v>招聘场地安排对接</c:v>
                  </c:pt>
                  <c:pt idx="16">
                    <c:v>组织毕业生参会</c:v>
                  </c:pt>
                  <c:pt idx="17">
                    <c:v>个性化服务</c:v>
                  </c:pt>
                </c15:dlblRangeCache>
              </c15:datalabelsRange>
            </c:ext>
          </c:extLst>
        </c:ser>
        <c:dLbls>
          <c:showLegendKey val="0"/>
          <c:showVal val="0"/>
          <c:showCatName val="0"/>
          <c:showSerName val="0"/>
          <c:showPercent val="0"/>
          <c:showBubbleSize val="0"/>
        </c:dLbls>
        <c:axId val="408338400"/>
        <c:axId val="408338792"/>
      </c:scatterChart>
      <c:valAx>
        <c:axId val="408338400"/>
        <c:scaling>
          <c:orientation val="minMax"/>
          <c:min val="0.0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重要性</a:t>
                </a:r>
                <a:endParaRPr lang="zh-CN" altLang="en-US"/>
              </a:p>
            </c:rich>
          </c:tx>
          <c:layout/>
          <c:overlay val="0"/>
          <c:spPr>
            <a:noFill/>
            <a:ln>
              <a:noFill/>
            </a:ln>
            <a:effectLst/>
          </c:spPr>
        </c:title>
        <c:numFmt formatCode="#,##0.000_);[Red]\(#,##0.000\)" sourceLinked="0"/>
        <c:majorTickMark val="none"/>
        <c:minorTickMark val="none"/>
        <c:tickLblPos val="low"/>
        <c:spPr>
          <a:noFill/>
          <a:ln w="9525" cap="flat" cmpd="sng" algn="ctr">
            <a:solidFill>
              <a:schemeClr val="tx2"/>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8338792"/>
        <c:crossesAt val="3.76"/>
        <c:crossBetween val="midCat"/>
      </c:valAx>
      <c:valAx>
        <c:axId val="408338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满意度</a:t>
                </a:r>
                <a:endParaRPr lang="zh-CN" altLang="en-US"/>
              </a:p>
            </c:rich>
          </c:tx>
          <c:layout/>
          <c:overlay val="0"/>
          <c:spPr>
            <a:noFill/>
            <a:ln>
              <a:noFill/>
            </a:ln>
            <a:effectLst/>
          </c:spPr>
        </c:title>
        <c:numFmt formatCode="###0.00" sourceLinked="1"/>
        <c:majorTickMark val="none"/>
        <c:minorTickMark val="none"/>
        <c:tickLblPos val="low"/>
        <c:spPr>
          <a:noFill/>
          <a:ln w="9525" cap="flat" cmpd="sng" algn="ctr">
            <a:solidFill>
              <a:schemeClr val="tx2"/>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8338400"/>
        <c:crossesAt val="0.0556"/>
        <c:crossBetween val="midCat"/>
      </c:valAx>
      <c:spPr>
        <a:solidFill>
          <a:schemeClr val="accent5">
            <a:lumMod val="20000"/>
            <a:lumOff val="80000"/>
          </a:schemeClr>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c:explosion val="0"/>
          <c:dPt>
            <c:idx val="0"/>
            <c:bubble3D val="0"/>
            <c:spPr>
              <a:solidFill>
                <a:schemeClr val="accent2"/>
              </a:solidFill>
              <a:ln w="19050">
                <a:solidFill>
                  <a:schemeClr val="lt1"/>
                </a:solidFill>
              </a:ln>
              <a:effectLst/>
            </c:spPr>
          </c:dPt>
          <c:dPt>
            <c:idx val="1"/>
            <c:bubble3D val="0"/>
            <c:spPr>
              <a:solidFill>
                <a:schemeClr val="accent4"/>
              </a:solidFill>
              <a:ln w="19050">
                <a:solidFill>
                  <a:schemeClr val="lt1"/>
                </a:solidFill>
              </a:ln>
              <a:effectLst/>
            </c:spPr>
          </c:dPt>
          <c:dPt>
            <c:idx val="2"/>
            <c:bubble3D val="0"/>
            <c:spPr>
              <a:solidFill>
                <a:schemeClr val="accent6"/>
              </a:solidFill>
              <a:ln w="19050">
                <a:solidFill>
                  <a:schemeClr val="lt1"/>
                </a:solidFill>
              </a:ln>
              <a:effectLst/>
            </c:spPr>
          </c:dPt>
          <c:dPt>
            <c:idx val="3"/>
            <c:bubble3D val="0"/>
            <c:spPr>
              <a:solidFill>
                <a:schemeClr val="accent2">
                  <a:lumMod val="60000"/>
                </a:schemeClr>
              </a:solidFill>
              <a:ln w="19050">
                <a:solidFill>
                  <a:schemeClr val="lt1"/>
                </a:solidFill>
              </a:ln>
              <a:effectLst/>
            </c:spPr>
          </c:dPt>
          <c:dPt>
            <c:idx val="4"/>
            <c:bubble3D val="0"/>
            <c:spPr>
              <a:solidFill>
                <a:schemeClr val="accent4">
                  <a:lumMod val="60000"/>
                </a:schemeClr>
              </a:solidFill>
              <a:ln w="19050">
                <a:solidFill>
                  <a:schemeClr val="lt1"/>
                </a:solidFill>
              </a:ln>
              <a:effectLst/>
            </c:spPr>
          </c:dPt>
          <c:dPt>
            <c:idx val="5"/>
            <c:bubble3D val="0"/>
            <c:spPr>
              <a:solidFill>
                <a:schemeClr val="accent6">
                  <a:lumMod val="60000"/>
                </a:schemeClr>
              </a:solidFill>
              <a:ln w="19050">
                <a:solidFill>
                  <a:schemeClr val="lt1"/>
                </a:solidFill>
              </a:ln>
              <a:effectLst/>
            </c:spPr>
          </c:dPt>
          <c:dLbls>
            <c:dLbl>
              <c:idx val="1"/>
              <c:layout>
                <c:manualLayout>
                  <c:x val="0.158024666779482"/>
                  <c:y val="0.0773606370875995"/>
                </c:manualLayout>
              </c:layou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
                  <c:y val="0.0864618885096701"/>
                </c:manualLayout>
              </c:layout>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0.0829629500592282"/>
                  <c:y val="-0.0773606370875995"/>
                </c:manualLayout>
              </c:layout>
              <c:showLegendKey val="0"/>
              <c:showVal val="1"/>
              <c:showCatName val="1"/>
              <c:showSerName val="0"/>
              <c:showPercent val="0"/>
              <c:showBubbleSize val="0"/>
              <c:extLst>
                <c:ext xmlns:c15="http://schemas.microsoft.com/office/drawing/2012/chart" uri="{CE6537A1-D6FC-4f65-9D91-7224C49458BB}">
                  <c15:layout/>
                </c:ext>
              </c:extLst>
            </c:dLbl>
            <c:dLbl>
              <c:idx val="5"/>
              <c:layout>
                <c:manualLayout>
                  <c:x val="0.138271583432047"/>
                  <c:y val="-0.100113765642776"/>
                </c:manualLayout>
              </c:layou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Sheet2!$A$353:$A$358</c:f>
              <c:strCache>
                <c:ptCount val="6"/>
                <c:pt idx="0">
                  <c:v>出国、出境</c:v>
                </c:pt>
                <c:pt idx="1">
                  <c:v>国有企业</c:v>
                </c:pt>
                <c:pt idx="2">
                  <c:v>机关</c:v>
                </c:pt>
                <c:pt idx="3">
                  <c:v>其他企业</c:v>
                </c:pt>
                <c:pt idx="4">
                  <c:v>其他事业单位</c:v>
                </c:pt>
                <c:pt idx="5">
                  <c:v>三资企业</c:v>
                </c:pt>
              </c:strCache>
            </c:strRef>
          </c:cat>
          <c:val>
            <c:numRef>
              <c:f>Sheet2!$B$353:$B$358</c:f>
              <c:numCache>
                <c:formatCode>0.00%</c:formatCode>
                <c:ptCount val="6"/>
                <c:pt idx="0">
                  <c:v>0.414473684210526</c:v>
                </c:pt>
                <c:pt idx="1">
                  <c:v>0.0328947368421053</c:v>
                </c:pt>
                <c:pt idx="2">
                  <c:v>0.00657894736842105</c:v>
                </c:pt>
                <c:pt idx="3">
                  <c:v>0.513157894736842</c:v>
                </c:pt>
                <c:pt idx="4">
                  <c:v>0.0197368421052632</c:v>
                </c:pt>
                <c:pt idx="5">
                  <c:v>0.0131578947368421</c:v>
                </c:pt>
              </c:numCache>
            </c:numRef>
          </c:val>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bar"/>
        <c:varyColors val="1"/>
        <c:ser>
          <c:idx val="0"/>
          <c:order val="0"/>
          <c:spPr/>
          <c:explosion val="3"/>
          <c:dPt>
            <c:idx val="0"/>
            <c:bubble3D val="0"/>
            <c:spPr>
              <a:solidFill>
                <a:srgbClr val="92D050"/>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5">
                  <a:lumMod val="60000"/>
                  <a:lumOff val="40000"/>
                </a:schemeClr>
              </a:solidFill>
              <a:ln w="19050">
                <a:solidFill>
                  <a:schemeClr val="lt1"/>
                </a:solidFill>
              </a:ln>
              <a:effectLst/>
            </c:spPr>
          </c:dPt>
          <c:dPt>
            <c:idx val="7"/>
            <c:bubble3D val="0"/>
            <c:spPr>
              <a:solidFill>
                <a:schemeClr val="accent6">
                  <a:lumMod val="40000"/>
                  <a:lumOff val="60000"/>
                </a:schemeClr>
              </a:solidFill>
              <a:ln w="19050">
                <a:solidFill>
                  <a:schemeClr val="lt1"/>
                </a:solidFill>
              </a:ln>
              <a:effectLst/>
            </c:spPr>
          </c:dPt>
          <c:dPt>
            <c:idx val="8"/>
            <c:bubble3D val="0"/>
            <c:spPr>
              <a:solidFill>
                <a:schemeClr val="accent3">
                  <a:lumMod val="60000"/>
                  <a:lumOff val="40000"/>
                </a:schemeClr>
              </a:solidFill>
              <a:ln w="19050">
                <a:solidFill>
                  <a:schemeClr val="lt1"/>
                </a:solidFill>
              </a:ln>
              <a:effectLst/>
            </c:spPr>
          </c:dPt>
          <c:dPt>
            <c:idx val="9"/>
            <c:bubble3D val="0"/>
            <c:spPr>
              <a:solidFill>
                <a:schemeClr val="accent2">
                  <a:lumMod val="40000"/>
                  <a:lumOff val="60000"/>
                </a:schemeClr>
              </a:solidFill>
              <a:ln w="19050">
                <a:solidFill>
                  <a:schemeClr val="lt1"/>
                </a:solidFill>
              </a:ln>
              <a:effectLst/>
            </c:spPr>
          </c:dPt>
          <c:dPt>
            <c:idx val="10"/>
            <c:bubble3D val="0"/>
            <c:spPr>
              <a:solidFill>
                <a:schemeClr val="accent4">
                  <a:lumMod val="20000"/>
                  <a:lumOff val="8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Lbls>
            <c:dLbl>
              <c:idx val="5"/>
              <c:layout>
                <c:manualLayout>
                  <c:x val="-0.0402079768700342"/>
                  <c:y val="0.00907354665773161"/>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0"/>
              <c:layout>
                <c:manualLayout>
                  <c:x val="-0.115579099446183"/>
                  <c:y val="0"/>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1"/>
              <c:layout>
                <c:manualLayout>
                  <c:x val="-1.76577139875259e-16"/>
                  <c:y val="0.0297896108732078"/>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2"/>
              <c:layout>
                <c:manualLayout>
                  <c:x val="-0.120394895256441"/>
                  <c:y val="0.0521318190281139"/>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3"/>
              <c:layout>
                <c:manualLayout>
                  <c:x val="-0.00252798942151443"/>
                  <c:y val="0.0606382978723404"/>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65000"/>
                        <a:lumOff val="35000"/>
                      </a:schemeClr>
                    </a:solidFill>
                    <a:latin typeface="+mn-lt"/>
                    <a:ea typeface="+mn-ea"/>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Sheet2!$A$369:$A$381</c:f>
              <c:strCache>
                <c:ptCount val="13"/>
                <c:pt idx="0">
                  <c:v>其他企业</c:v>
                </c:pt>
                <c:pt idx="1">
                  <c:v>国有企业</c:v>
                </c:pt>
                <c:pt idx="2">
                  <c:v>三资企业</c:v>
                </c:pt>
                <c:pt idx="3">
                  <c:v>出国、出境</c:v>
                </c:pt>
                <c:pt idx="4">
                  <c:v>机关</c:v>
                </c:pt>
                <c:pt idx="5">
                  <c:v>其他事业单位</c:v>
                </c:pt>
                <c:pt idx="6">
                  <c:v>医疗卫生单位</c:v>
                </c:pt>
                <c:pt idx="7">
                  <c:v>城镇社区</c:v>
                </c:pt>
                <c:pt idx="8">
                  <c:v>国家基层项目</c:v>
                </c:pt>
                <c:pt idx="9">
                  <c:v>其他教学单位</c:v>
                </c:pt>
                <c:pt idx="10">
                  <c:v>部队</c:v>
                </c:pt>
                <c:pt idx="11">
                  <c:v>地方基层项目</c:v>
                </c:pt>
                <c:pt idx="12">
                  <c:v>高等学校</c:v>
                </c:pt>
              </c:strCache>
            </c:strRef>
          </c:cat>
          <c:val>
            <c:numRef>
              <c:f>Sheet2!$C$369:$C$381</c:f>
              <c:numCache>
                <c:formatCode>0.00%</c:formatCode>
                <c:ptCount val="13"/>
                <c:pt idx="0">
                  <c:v>0.771559310102077</c:v>
                </c:pt>
                <c:pt idx="1">
                  <c:v>0.138683562126012</c:v>
                </c:pt>
                <c:pt idx="2">
                  <c:v>0.0232312565997888</c:v>
                </c:pt>
                <c:pt idx="3">
                  <c:v>0.0228792678634284</c:v>
                </c:pt>
                <c:pt idx="4">
                  <c:v>0.0190073917634636</c:v>
                </c:pt>
                <c:pt idx="5">
                  <c:v>0.0165434706089405</c:v>
                </c:pt>
                <c:pt idx="6">
                  <c:v>0.00211193241816262</c:v>
                </c:pt>
                <c:pt idx="7">
                  <c:v>0.00175994368180218</c:v>
                </c:pt>
                <c:pt idx="8">
                  <c:v>0.00140795494544175</c:v>
                </c:pt>
                <c:pt idx="9">
                  <c:v>0.00140795494544175</c:v>
                </c:pt>
                <c:pt idx="10">
                  <c:v>0.000703977472720873</c:v>
                </c:pt>
                <c:pt idx="11">
                  <c:v>0.000351988736360436</c:v>
                </c:pt>
                <c:pt idx="12">
                  <c:v>0.000351988736360436</c:v>
                </c:pt>
              </c:numCache>
            </c:numRef>
          </c:val>
        </c:ser>
        <c:dLbls>
          <c:showLegendKey val="0"/>
          <c:showVal val="0"/>
          <c:showCatName val="0"/>
          <c:showSerName val="0"/>
          <c:showPercent val="0"/>
          <c:showBubbleSize val="0"/>
          <c:showLeaderLines val="1"/>
        </c:dLbls>
        <c:gapWidth val="100"/>
        <c:splitType val="pos"/>
        <c:splitPos val="7"/>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Sheet2!$F$470</c:f>
              <c:strCache>
                <c:ptCount val="1"/>
                <c:pt idx="0">
                  <c:v>人数</c:v>
                </c:pt>
              </c:strCache>
            </c:strRef>
          </c:tx>
          <c:spPr/>
          <c:explosion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4"/>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5"/>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6"/>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dLbl>
              <c:idx val="2"/>
              <c:layout>
                <c:manualLayout>
                  <c:x val="0.0710374426520645"/>
                  <c:y val="0.0420197622356029"/>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194612993932218"/>
                      <c:h val="0.102941176470588"/>
                    </c:manualLayout>
                  </c15:layout>
                </c:ext>
              </c:extLst>
            </c:dLbl>
            <c:dLbl>
              <c:idx val="3"/>
              <c:layout>
                <c:manualLayout>
                  <c:x val="-0.0755313488912758"/>
                  <c:y val="-0.03708939323761"/>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dLbl>
              <c:idx val="4"/>
              <c:layout>
                <c:manualLayout>
                  <c:x val="0.021283319346737"/>
                  <c:y val="-0.051753280839895"/>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dLbl>
              <c:idx val="5"/>
              <c:layout>
                <c:manualLayout>
                  <c:x val="0.112467615455838"/>
                  <c:y val="-0.0334497452524317"/>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15:layout>
                    <c:manualLayout>
                      <c:w val="0.187199386252151"/>
                      <c:h val="0.148039215686275"/>
                    </c:manualLayout>
                  </c15:layout>
                </c:ext>
              </c:extLst>
            </c:dLbl>
            <c:dLbl>
              <c:idx val="6"/>
              <c:layout>
                <c:manualLayout>
                  <c:x val="0.26048429589936"/>
                  <c:y val="-0.0378582677165354"/>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Sheet2!$E$471:$E$477</c:f>
              <c:strCache>
                <c:ptCount val="7"/>
                <c:pt idx="0">
                  <c:v>泛珠江三角洲地区</c:v>
                </c:pt>
                <c:pt idx="1">
                  <c:v>泛长江三角洲地区</c:v>
                </c:pt>
                <c:pt idx="2">
                  <c:v>泛渤海湾地区</c:v>
                </c:pt>
                <c:pt idx="3">
                  <c:v>西南地区</c:v>
                </c:pt>
                <c:pt idx="4">
                  <c:v>中部地区</c:v>
                </c:pt>
                <c:pt idx="5">
                  <c:v>西北地区</c:v>
                </c:pt>
                <c:pt idx="6">
                  <c:v>东北地区</c:v>
                </c:pt>
              </c:strCache>
            </c:strRef>
          </c:cat>
          <c:val>
            <c:numRef>
              <c:f>Sheet2!$F$471:$F$477</c:f>
              <c:numCache>
                <c:formatCode>General</c:formatCode>
                <c:ptCount val="7"/>
                <c:pt idx="0">
                  <c:v>575</c:v>
                </c:pt>
                <c:pt idx="1">
                  <c:v>225</c:v>
                </c:pt>
                <c:pt idx="2">
                  <c:v>99</c:v>
                </c:pt>
                <c:pt idx="3">
                  <c:v>58</c:v>
                </c:pt>
                <c:pt idx="4">
                  <c:v>34</c:v>
                </c:pt>
                <c:pt idx="5">
                  <c:v>37</c:v>
                </c:pt>
                <c:pt idx="6">
                  <c:v>20</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2.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6.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A8F1A167AFC84FC99FB97F9BCD262250"/>
        <w:style w:val=""/>
        <w:category>
          <w:name w:val="常规"/>
          <w:gallery w:val="placeholder"/>
        </w:category>
        <w:types>
          <w:type w:val="bbPlcHdr"/>
        </w:types>
        <w:behaviors>
          <w:behavior w:val="content"/>
        </w:behaviors>
        <w:description w:val=""/>
        <w:guid w:val="{55B8E892-EB35-49E5-850B-E28A6037BD26}"/>
      </w:docPartPr>
      <w:docPartBody>
        <w:p>
          <w:pPr>
            <w:pStyle w:val="4"/>
          </w:pPr>
          <w:r>
            <w:rPr>
              <w:lang w:val="zh-CN"/>
            </w:rPr>
            <w:t>[在此处键入]</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Arial Narrow">
    <w:panose1 w:val="020B0606020202030204"/>
    <w:charset w:val="00"/>
    <w:family w:val="swiss"/>
    <w:pitch w:val="default"/>
    <w:sig w:usb0="00000287" w:usb1="00000800" w:usb2="00000000" w:usb3="00000000" w:csb0="2000009F" w:csb1="DFD70000"/>
  </w:font>
  <w:font w:name="MingLiU">
    <w:panose1 w:val="02020509000000000000"/>
    <w:charset w:val="88"/>
    <w:family w:val="modern"/>
    <w:pitch w:val="default"/>
    <w:sig w:usb0="A00002FF" w:usb1="28CFFCFA" w:usb2="00000016" w:usb3="00000000" w:csb0="00100001" w:csb1="00000000"/>
  </w:font>
  <w:font w:name="微软雅黑">
    <w:panose1 w:val="020B0503020204020204"/>
    <w:charset w:val="86"/>
    <w:family w:val="swiss"/>
    <w:pitch w:val="default"/>
    <w:sig w:usb0="80000287" w:usb1="280F3C52" w:usb2="00000016" w:usb3="00000000" w:csb0="0004001F" w:csb1="00000000"/>
  </w:font>
  <w:font w:name="MS Mincho">
    <w:panose1 w:val="02020609040205080304"/>
    <w:charset w:val="80"/>
    <w:family w:val="modern"/>
    <w:pitch w:val="default"/>
    <w:sig w:usb0="E00002FF" w:usb1="6AC7FDFB" w:usb2="00000012" w:usb3="00000000" w:csb0="4002009F" w:csb1="DFD70000"/>
  </w:font>
  <w:font w:name="Cambria Math">
    <w:panose1 w:val="02040503050406030204"/>
    <w:charset w:val="00"/>
    <w:family w:val="roman"/>
    <w:pitch w:val="default"/>
    <w:sig w:usb0="E00002FF" w:usb1="420024FF" w:usb2="00000000"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4CA"/>
    <w:rsid w:val="00045669"/>
    <w:rsid w:val="000624CA"/>
    <w:rsid w:val="000C297B"/>
    <w:rsid w:val="00112A0A"/>
    <w:rsid w:val="001738DE"/>
    <w:rsid w:val="001C3A28"/>
    <w:rsid w:val="0023303A"/>
    <w:rsid w:val="003A2824"/>
    <w:rsid w:val="003B61F8"/>
    <w:rsid w:val="00402D77"/>
    <w:rsid w:val="0049241D"/>
    <w:rsid w:val="00514DCB"/>
    <w:rsid w:val="006017E6"/>
    <w:rsid w:val="006853C0"/>
    <w:rsid w:val="006925C7"/>
    <w:rsid w:val="006D2313"/>
    <w:rsid w:val="00770B39"/>
    <w:rsid w:val="007C2125"/>
    <w:rsid w:val="009B385C"/>
    <w:rsid w:val="009F522F"/>
    <w:rsid w:val="00A17F2A"/>
    <w:rsid w:val="00BB6264"/>
    <w:rsid w:val="00BB6B77"/>
    <w:rsid w:val="00BF0911"/>
    <w:rsid w:val="00C82499"/>
    <w:rsid w:val="00CF7140"/>
    <w:rsid w:val="00D80CBD"/>
    <w:rsid w:val="00F04B57"/>
    <w:rsid w:val="00F7200C"/>
    <w:rsid w:val="00FA22A6"/>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semiHidden="0" w:name="Default Paragraph Font"/>
    <w:lsdException w:uiPriority="99" w:semiHidden="0"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unhideWhenUsed/>
    <w:qFormat/>
    <w:uiPriority w:val="1"/>
  </w:style>
  <w:style w:type="table" w:default="1" w:styleId="3">
    <w:name w:val="Normal Table"/>
    <w:unhideWhenUsed/>
    <w:uiPriority w:val="99"/>
    <w:tblPr>
      <w:tblLayout w:type="fixed"/>
      <w:tblCellMar>
        <w:top w:w="0" w:type="dxa"/>
        <w:left w:w="108" w:type="dxa"/>
        <w:bottom w:w="0" w:type="dxa"/>
        <w:right w:w="108" w:type="dxa"/>
      </w:tblCellMar>
    </w:tblPr>
  </w:style>
  <w:style w:type="paragraph" w:customStyle="1" w:styleId="4">
    <w:name w:val="A8F1A167AFC84FC99FB97F9BCD26225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29C6F4ABDB9E48E9833C1690B1AE3C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3B626211DAC54AC68E4A71F2D943203C"/>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DDBE71-36A9-48F4-B91C-31474438BBE3}">
  <ds:schemaRefs/>
</ds:datastoreItem>
</file>

<file path=docProps/app.xml><?xml version="1.0" encoding="utf-8"?>
<Properties xmlns="http://schemas.openxmlformats.org/officeDocument/2006/extended-properties" xmlns:vt="http://schemas.openxmlformats.org/officeDocument/2006/docPropsVTypes">
  <Template>Normal</Template>
  <Pages>92</Pages>
  <Words>8799</Words>
  <Characters>50160</Characters>
  <Lines>418</Lines>
  <Paragraphs>117</Paragraphs>
  <ScaleCrop>false</ScaleCrop>
  <LinksUpToDate>false</LinksUpToDate>
  <CharactersWithSpaces>58842</CharactersWithSpaces>
  <Application>WPS Office_10.1.0.6207_F1E327BC-269C-435d-A152-05C5408002CA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2016-11-21T01:35:00Z</dcterms:created>
  <dc:creator>aycland</dc:creator>
  <cp:lastModifiedBy>Administrator</cp:lastModifiedBy>
  <cp:lastPrinted>2017-01-03T06:43:00Z</cp:lastPrinted>
  <dcterms:modified xsi:type="dcterms:W3CDTF">2017-02-19T09:05:00Z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2052-10.1.0.6207</vt:lpwstr>
  </property>
</Properties>
</file>