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时间管理活动表格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探索活动一 你的剩余“生命时间”有多少？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准备一张长约24厘米，宽3厘米的纸条，假设你的人生有100年，纸条被平均分成20小格，每个格子代表5年。</w:t>
      </w:r>
    </w:p>
    <w:tbl>
      <w:tblPr>
        <w:tblStyle w:val="10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447"/>
        <w:gridCol w:w="447"/>
        <w:gridCol w:w="447"/>
        <w:gridCol w:w="447"/>
        <w:gridCol w:w="447"/>
        <w:gridCol w:w="447"/>
        <w:gridCol w:w="447"/>
        <w:gridCol w:w="448"/>
        <w:gridCol w:w="448"/>
        <w:gridCol w:w="440"/>
        <w:gridCol w:w="438"/>
        <w:gridCol w:w="427"/>
        <w:gridCol w:w="421"/>
        <w:gridCol w:w="409"/>
        <w:gridCol w:w="403"/>
        <w:gridCol w:w="395"/>
        <w:gridCol w:w="382"/>
        <w:gridCol w:w="366"/>
        <w:gridCol w:w="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4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4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4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4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4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4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4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4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4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8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27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2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09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03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9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8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撕掉已过去的岁月，如15岁？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再撕掉吃饭、睡觉至少人生三分之一的时间。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再撕去你认为还会消耗的时间，如琐事等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看看还剩下多少时间可供使用？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问：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手里握着剩下的“生命时光”，你的感受是什么？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在时间管理上，你的困惑是什么？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探索活动二  我的时间“馅饼”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1、回顾你这一个月的学习日和休息日，想一想一天24个小时，你在学习日是怎么利用时间的？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drawing>
          <wp:inline distT="0" distB="0" distL="114300" distR="114300">
            <wp:extent cx="6066790" cy="3647440"/>
            <wp:effectExtent l="4445" t="4445" r="5715" b="571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学习日馅饼饼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2、回顾你这一个月的学习日和休息日，想一想一天24个小时，你在休息日是怎么利用时间的？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drawing>
          <wp:inline distT="0" distB="0" distL="114300" distR="114300">
            <wp:extent cx="6066790" cy="3647440"/>
            <wp:effectExtent l="4445" t="4445" r="5715" b="5715"/>
            <wp:docPr id="3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现在，让我们总结一下：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你的馅饼还有剩余部分吗？还剩几个小时？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除了共性（大家都要做的事情）的消耗，你的个性消耗项目是多少？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探索活动三  我的时间管理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重要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13335</wp:posOffset>
                </wp:positionV>
                <wp:extent cx="2228850" cy="1971675"/>
                <wp:effectExtent l="12700" t="0" r="25400" b="158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6530" y="5495925"/>
                          <a:ext cx="2228850" cy="1971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第一象限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即重要又紧急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处理方法：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立即去做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饱和后果：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压力无限增大，危机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原则：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越少越好，很多第一象限的事情是因为让它们在第二象限时没有被很好的处理 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.9pt;margin-top:1.05pt;height:155.25pt;width:175.5pt;z-index:251918336;v-text-anchor:middle;mso-width-relative:page;mso-height-relative:page;" fillcolor="#C0504D [3205]" filled="t" stroked="t" coordsize="21600,21600" o:gfxdata="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CPRpY9gAAAAIAQAADwAAAAAAAAABACAAAAAiAAAAZHJzL2Rvd25y&#10;ZXYueG1sUEsBAhQAFAAAAAgAh07iQKtMZw5wAgAAygQAAA4AAAAAAAAAAQAgAAAAJwEAAGRycy9l&#10;Mm9Eb2MueG1sUEsFBgAAAAAGAAYAWQEAAAkGAAAAAA==&#10;">
                <v:fill on="t" focussize="0,0"/>
                <v:stroke weight="2pt" color="#8C3836 [3205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第一象限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即重要又紧急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处理方法：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立即去做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饱和后果：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压力无限增大，危机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原则：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越少越好，很多第一象限的事情是因为让它们在第二象限时没有被很好的处理 </w:t>
                      </w:r>
                      <w:r>
                        <w:rPr>
                          <w:rFonts w:hint="eastAsia" w:asciiTheme="minorEastAsia" w:hAnsiTheme="minorEastAsia" w:cstheme="minorEastAsia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0000" w:themeColor="text1"/>
                          <w:sz w:val="16"/>
                          <w:szCs w:val="16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34925</wp:posOffset>
                </wp:positionV>
                <wp:extent cx="2286000" cy="1961515"/>
                <wp:effectExtent l="12700" t="0" r="25400" b="2603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0180" y="5438775"/>
                          <a:ext cx="2286000" cy="1961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      第二象限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重要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但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不紧急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处理方法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：有计划去做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饱和后果：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忙碌但还不是盲目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原则：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集中精力处理，做好计划，先紧后松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4pt;margin-top:2.75pt;height:154.45pt;width:180pt;z-index:251919360;v-text-anchor:middle;mso-width-relative:page;mso-height-relative:page;" fillcolor="#4F81BD [3204]" filled="t" stroked="t" coordsize="21600,21600" o:gfxdata="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ktpnRNgAAAAJAQAADwAAAAAAAAABACAAAAAiAAAAZHJzL2Rv&#10;d25yZXYueG1sUEsBAhQAFAAAAAgAh07iQDrhUsBzAgAAygQAAA4AAAAAAAAAAQAgAAAAJwEAAGRy&#10;cy9lMm9Eb2MueG1sUEsFBgAAAAAGAAYAWQEAAAw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       第二象限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重要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但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不紧急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处理方法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：有计划去做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饱和后果：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忙碌但还不是盲目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原则：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集中精力处理，做好计划，先紧后松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-438150</wp:posOffset>
                </wp:positionV>
                <wp:extent cx="33020" cy="4429125"/>
                <wp:effectExtent l="90170" t="13970" r="67310" b="7175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818255" y="5215255"/>
                          <a:ext cx="33020" cy="44291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11.05pt;margin-top:-34.5pt;height:348.75pt;width:2.6pt;z-index:251917312;mso-width-relative:page;mso-height-relative:page;" filled="f" stroked="t" coordsize="21600,21600" o:gfxdata="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2sGhvcAAAACwEA&#10;AA8AAAAAAAAAAQAgAAAAIgAAAGRycy9kb3ducmV2LnhtbFBLAQIUABQAAAAIAIdO4kDV1WlfTwIA&#10;AF4EAAAOAAAAAAAAAAEAIAAAACsBAABkcnMvZTJvRG9jLnhtbFBLBQYAAAAABgAGAFkBAADsBQAA&#10;AAA=&#10;">
                <v:fill on="f" focussize="0,0"/>
                <v:stroke weight="2pt" color="#4F81BD [3204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155575</wp:posOffset>
                </wp:positionV>
                <wp:extent cx="4177665" cy="8255"/>
                <wp:effectExtent l="33655" t="70485" r="36830" b="11176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46480" y="6920230"/>
                          <a:ext cx="4177665" cy="8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9.4pt;margin-top:12.25pt;height:0.65pt;width:328.95pt;z-index:251916288;mso-width-relative:page;mso-height-relative:page;" filled="f" stroked="t" coordsize="21600,21600" o:gfxdata="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os8XHtgAAAAIAQAADwAA&#10;AAAAAAABACAAAAAiAAAAZHJzL2Rvd25yZXYueG1sUEsBAhQAFAAAAAgAh07iQJOnWYxPAgAAXQQA&#10;AA4AAAAAAAAAAQAgAAAAJwEAAGRycy9lMm9Eb2MueG1sUEsFBgAAAAAGAAYAWQEAAOgFAAAAAA==&#10;">
                <v:fill on="f" focussize="0,0"/>
                <v:stroke weight="2pt" color="#C0504D [3205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紧急                                                                不紧急                          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283845</wp:posOffset>
                </wp:positionV>
                <wp:extent cx="2305050" cy="1800225"/>
                <wp:effectExtent l="38735" t="18415" r="56515" b="6731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第四象限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既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不重要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又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不紧急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处理方法：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尽量别做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饱和后果：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浪费生命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原则：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可以当做调节身心，但是一定不能沉溺于这个象限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7.9pt;margin-top:22.35pt;height:141.75pt;width:181.5pt;z-index:252183552;v-text-anchor:middle;mso-width-relative:page;mso-height-relative:page;" fillcolor="#FFBE86 [3216]" filled="t" stroked="t" coordsize="21600,21600" o:gfxdata="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CIDnCLaAAAACgEAAA8AAAAAAAAAAQAgAAAAIgAAAGRycy9k&#10;b3ducmV2LnhtbFBLAQIUABQAAAAIAIdO4kB0euhiHQMAAOcGAAAOAAAAAAAAAAEAIAAAACkBAABk&#10;cnMvZTJvRG9jLnhtbFBLBQYAAAAABgAGAFkBAAC4BgAAAAA=&#10;">
                <v:fill type="gradient" on="t" color2="#FFEBDB [3216]" colors="0f #FFBE86;22938f #FFD0AA;65536f #FFEBDB" angle="180" focus="100%" focussize="0,0" rotate="t"/>
                <v:stroke color="#F69240 [3209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第四象限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既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不重要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又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不紧急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处理方法：</w:t>
                      </w:r>
                      <w:r>
                        <w:rPr>
                          <w:sz w:val="20"/>
                          <w:szCs w:val="20"/>
                        </w:rPr>
                        <w:t>尽量别做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饱和后果：</w:t>
                      </w:r>
                      <w:r>
                        <w:rPr>
                          <w:sz w:val="20"/>
                          <w:szCs w:val="20"/>
                        </w:rPr>
                        <w:t>浪费生命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原则：</w:t>
                      </w:r>
                      <w:r>
                        <w:rPr>
                          <w:sz w:val="20"/>
                          <w:szCs w:val="20"/>
                        </w:rPr>
                        <w:t>可以当做调节身心，但是一定不能沉溺于这个象限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283845</wp:posOffset>
                </wp:positionV>
                <wp:extent cx="2305050" cy="1800225"/>
                <wp:effectExtent l="38735" t="18415" r="56515" b="6731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98905" y="7439025"/>
                          <a:ext cx="2305050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第三象限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不重要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但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紧急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处理方法：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交给别人去做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饱和后果：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忙碌而且盲目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Autospacing="0" w:after="0" w:afterAutospacing="0" w:line="240" w:lineRule="auto"/>
                              <w:ind w:left="0" w:leftChars="0" w:right="0" w:rightChars="0" w:firstLine="0" w:firstLineChars="0"/>
                              <w:textAlignment w:val="auto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原则：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放权交给别人去做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.15pt;margin-top:22.35pt;height:141.75pt;width:181.5pt;z-index:251920384;v-text-anchor:middle;mso-width-relative:page;mso-height-relative:page;" fillcolor="#DAFDA7 [3216]" filled="t" stroked="t" coordsize="21600,21600" o:gfxdata="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G+Hmj7WAAAACQEAAA8AAAAAAAAA&#10;AQAgAAAAIgAAAGRycy9kb3ducmV2LnhtbFBLAQIUABQAAAAIAIdO4kD7bZsPMAMAAPMGAAAOAAAA&#10;AAAAAAEAIAAAACUBAABkcnMvZTJvRG9jLnhtbFBLBQYAAAAABgAGAFkBAADHBgAAAAA=&#10;">
                <v:fill type="gradient" on="t" color2="#F5FFE6 [3216]" colors="0f #DAFDA7;22938f #E4FDC2;65536f #F5FFE6" angle="180" focus="100%" focussize="0,0" rotate="t"/>
                <v:stroke color="#98B954 [3206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第三象限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不重要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但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紧急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处理方法：</w:t>
                      </w:r>
                      <w:r>
                        <w:rPr>
                          <w:sz w:val="20"/>
                          <w:szCs w:val="20"/>
                        </w:rPr>
                        <w:t>交给别人去做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饱和后果：</w:t>
                      </w:r>
                      <w:r>
                        <w:rPr>
                          <w:sz w:val="20"/>
                          <w:szCs w:val="20"/>
                        </w:rPr>
                        <w:t>忙碌而且盲目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Autospacing="0" w:after="0" w:afterAutospacing="0" w:line="240" w:lineRule="auto"/>
                        <w:ind w:left="0" w:leftChars="0" w:right="0" w:rightChars="0" w:firstLine="0" w:firstLineChars="0"/>
                        <w:textAlignment w:val="auto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原则：</w:t>
                      </w:r>
                      <w:r>
                        <w:rPr>
                          <w:sz w:val="20"/>
                          <w:szCs w:val="20"/>
                        </w:rPr>
                        <w:t>放权交给别人去做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探索活动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探索活动一    你剩下的时间有多少？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750"/>
        <w:gridCol w:w="3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extDirection w:val="lrTb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750" w:type="dxa"/>
            <w:textDirection w:val="lrTb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紧急</w:t>
            </w:r>
          </w:p>
        </w:tc>
        <w:tc>
          <w:tcPr>
            <w:tcW w:w="3832" w:type="dxa"/>
            <w:textDirection w:val="lrTb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不紧急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textDirection w:val="lrTb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重要</w:t>
            </w:r>
          </w:p>
        </w:tc>
        <w:tc>
          <w:tcPr>
            <w:tcW w:w="3750" w:type="dxa"/>
            <w:textDirection w:val="lrTb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第一象限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832" w:type="dxa"/>
            <w:textDirection w:val="lrTb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第二象限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不重要</w:t>
            </w:r>
          </w:p>
        </w:tc>
        <w:tc>
          <w:tcPr>
            <w:tcW w:w="375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第三象限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83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第四象限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请你将你的“月计划”、“周计划”“日计划”清单项目按照上表分类。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很多时候，我们会迫于压力把紧急的事情放在第一位，不由自主地“到处救火”，再转而去做“紧急不重要”的事情。其实成功人士花最多的时间做最重要但不紧急的事情，然而一般人都是做紧急不重要的事情。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现在为你本周的计划安排一张四象限时间表吧！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所在象限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优先性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第一象限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第二象限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第三象限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第四象限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57131"/>
    <w:multiLevelType w:val="singleLevel"/>
    <w:tmpl w:val="5825713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2571AF"/>
    <w:multiLevelType w:val="singleLevel"/>
    <w:tmpl w:val="582571A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8257C94"/>
    <w:multiLevelType w:val="singleLevel"/>
    <w:tmpl w:val="58257C9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1C5464D"/>
    <w:rsid w:val="08842361"/>
    <w:rsid w:val="0A11291C"/>
    <w:rsid w:val="0B983C3D"/>
    <w:rsid w:val="0F573E02"/>
    <w:rsid w:val="11B221BB"/>
    <w:rsid w:val="124F71DB"/>
    <w:rsid w:val="15EB72FE"/>
    <w:rsid w:val="1719745F"/>
    <w:rsid w:val="1FB32D87"/>
    <w:rsid w:val="24D7164D"/>
    <w:rsid w:val="28137071"/>
    <w:rsid w:val="299D59E4"/>
    <w:rsid w:val="2D0C4278"/>
    <w:rsid w:val="2EFC6BD6"/>
    <w:rsid w:val="2FD2780F"/>
    <w:rsid w:val="304A64E1"/>
    <w:rsid w:val="34B06484"/>
    <w:rsid w:val="390E4925"/>
    <w:rsid w:val="404A0F59"/>
    <w:rsid w:val="42F2562A"/>
    <w:rsid w:val="44630E5B"/>
    <w:rsid w:val="47DC0771"/>
    <w:rsid w:val="4E4B7433"/>
    <w:rsid w:val="523941F6"/>
    <w:rsid w:val="5C7D0B58"/>
    <w:rsid w:val="5D0D7F55"/>
    <w:rsid w:val="61C477D5"/>
    <w:rsid w:val="642333A7"/>
    <w:rsid w:val="64AA533A"/>
    <w:rsid w:val="64CF0877"/>
    <w:rsid w:val="66730236"/>
    <w:rsid w:val="6E881ABA"/>
    <w:rsid w:val="710A095F"/>
    <w:rsid w:val="72E24001"/>
    <w:rsid w:val="75E5008B"/>
    <w:rsid w:val="7782177E"/>
    <w:rsid w:val="7A0D2D2E"/>
    <w:rsid w:val="7BE74C97"/>
    <w:rsid w:val="7C461D39"/>
    <w:rsid w:val="7C81317B"/>
    <w:rsid w:val="7E2C769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chart" Target="charts/chart2.xml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CYBD\Desktop\&#26032;&#24314;%20Microsoft%20Excel%20&#24037;&#20316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CYBD\Desktop\&#26032;&#24314;%20Microsoft%20Excel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>
                  <a:tint val="35600"/>
                </a:schemeClr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6">
                  <a:tint val="41200"/>
                </a:schemeClr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6">
                  <a:tint val="46800"/>
                </a:schemeClr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tint val="52400"/>
                </a:schemeClr>
              </a:solidFill>
              <a:ln>
                <a:noFill/>
              </a:ln>
              <a:effectLst/>
            </c:spPr>
          </c:dPt>
          <c:dPt>
            <c:idx val="4"/>
            <c:bubble3D val="0"/>
            <c:spPr>
              <a:solidFill>
                <a:schemeClr val="accent6">
                  <a:tint val="58000"/>
                </a:schemeClr>
              </a:solidFill>
              <a:ln>
                <a:noFill/>
              </a:ln>
              <a:effectLst/>
            </c:spPr>
          </c:dPt>
          <c:dPt>
            <c:idx val="5"/>
            <c:bubble3D val="0"/>
            <c:spPr>
              <a:solidFill>
                <a:schemeClr val="accent6">
                  <a:tint val="63600"/>
                </a:schemeClr>
              </a:solidFill>
              <a:ln>
                <a:noFill/>
              </a:ln>
              <a:effectLst/>
            </c:spPr>
          </c:dPt>
          <c:dPt>
            <c:idx val="6"/>
            <c:bubble3D val="0"/>
            <c:spPr>
              <a:solidFill>
                <a:schemeClr val="accent6">
                  <a:tint val="69200"/>
                </a:schemeClr>
              </a:solidFill>
              <a:ln>
                <a:noFill/>
              </a:ln>
              <a:effectLst/>
            </c:spPr>
          </c:dPt>
          <c:dPt>
            <c:idx val="7"/>
            <c:bubble3D val="0"/>
            <c:spPr>
              <a:solidFill>
                <a:schemeClr val="accent6">
                  <a:tint val="74800"/>
                </a:schemeClr>
              </a:solidFill>
              <a:ln>
                <a:noFill/>
              </a:ln>
              <a:effectLst/>
            </c:spPr>
          </c:dPt>
          <c:dPt>
            <c:idx val="8"/>
            <c:bubble3D val="0"/>
            <c:spPr>
              <a:solidFill>
                <a:schemeClr val="accent6">
                  <a:tint val="80400"/>
                </a:schemeClr>
              </a:solidFill>
              <a:ln>
                <a:noFill/>
              </a:ln>
              <a:effectLst/>
            </c:spPr>
          </c:dPt>
          <c:dPt>
            <c:idx val="9"/>
            <c:bubble3D val="0"/>
            <c:spPr>
              <a:solidFill>
                <a:schemeClr val="accent6">
                  <a:tint val="86000"/>
                </a:schemeClr>
              </a:solidFill>
              <a:ln>
                <a:noFill/>
              </a:ln>
              <a:effectLst/>
            </c:spPr>
          </c:dPt>
          <c:dPt>
            <c:idx val="10"/>
            <c:bubble3D val="0"/>
            <c:spPr>
              <a:solidFill>
                <a:schemeClr val="accent6">
                  <a:tint val="91600"/>
                </a:schemeClr>
              </a:solidFill>
              <a:ln>
                <a:noFill/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tint val="97200"/>
                </a:schemeClr>
              </a:solidFill>
              <a:ln>
                <a:noFill/>
              </a:ln>
              <a:effectLst/>
            </c:spPr>
          </c:dPt>
          <c:dPt>
            <c:idx val="12"/>
            <c:bubble3D val="0"/>
            <c:spPr>
              <a:solidFill>
                <a:schemeClr val="accent6">
                  <a:shade val="97200"/>
                </a:schemeClr>
              </a:solidFill>
              <a:ln>
                <a:noFill/>
              </a:ln>
              <a:effectLst/>
            </c:spPr>
          </c:dPt>
          <c:dPt>
            <c:idx val="13"/>
            <c:bubble3D val="0"/>
            <c:spPr>
              <a:solidFill>
                <a:schemeClr val="accent6">
                  <a:shade val="91600"/>
                </a:schemeClr>
              </a:solidFill>
              <a:ln>
                <a:noFill/>
              </a:ln>
              <a:effectLst/>
            </c:spPr>
          </c:dPt>
          <c:dPt>
            <c:idx val="14"/>
            <c:bubble3D val="0"/>
            <c:spPr>
              <a:solidFill>
                <a:schemeClr val="accent6">
                  <a:shade val="86000"/>
                </a:schemeClr>
              </a:solidFill>
              <a:ln>
                <a:noFill/>
              </a:ln>
              <a:effectLst/>
            </c:spPr>
          </c:dPt>
          <c:dPt>
            <c:idx val="15"/>
            <c:bubble3D val="0"/>
            <c:spPr>
              <a:solidFill>
                <a:schemeClr val="accent6">
                  <a:shade val="80400"/>
                </a:schemeClr>
              </a:solidFill>
              <a:ln>
                <a:noFill/>
              </a:ln>
              <a:effectLst/>
            </c:spPr>
          </c:dPt>
          <c:dPt>
            <c:idx val="16"/>
            <c:bubble3D val="0"/>
            <c:spPr>
              <a:solidFill>
                <a:schemeClr val="accent6">
                  <a:shade val="74800"/>
                </a:schemeClr>
              </a:solidFill>
              <a:ln>
                <a:noFill/>
              </a:ln>
              <a:effectLst/>
            </c:spPr>
          </c:dPt>
          <c:dPt>
            <c:idx val="17"/>
            <c:bubble3D val="0"/>
            <c:spPr>
              <a:solidFill>
                <a:schemeClr val="accent6">
                  <a:shade val="69200"/>
                </a:schemeClr>
              </a:solidFill>
              <a:ln>
                <a:noFill/>
              </a:ln>
              <a:effectLst/>
            </c:spPr>
          </c:dPt>
          <c:dPt>
            <c:idx val="18"/>
            <c:bubble3D val="0"/>
            <c:spPr>
              <a:solidFill>
                <a:schemeClr val="accent6">
                  <a:shade val="63600"/>
                </a:schemeClr>
              </a:solidFill>
              <a:ln>
                <a:noFill/>
              </a:ln>
              <a:effectLst/>
            </c:spPr>
          </c:dPt>
          <c:dPt>
            <c:idx val="19"/>
            <c:bubble3D val="0"/>
            <c:spPr>
              <a:solidFill>
                <a:schemeClr val="accent6">
                  <a:shade val="58000"/>
                </a:schemeClr>
              </a:solidFill>
              <a:ln>
                <a:noFill/>
              </a:ln>
              <a:effectLst/>
            </c:spPr>
          </c:dPt>
          <c:dPt>
            <c:idx val="20"/>
            <c:bubble3D val="0"/>
            <c:spPr>
              <a:solidFill>
                <a:schemeClr val="accent6">
                  <a:shade val="52400"/>
                </a:schemeClr>
              </a:solidFill>
              <a:ln>
                <a:noFill/>
              </a:ln>
              <a:effectLst/>
            </c:spPr>
          </c:dPt>
          <c:dPt>
            <c:idx val="21"/>
            <c:bubble3D val="0"/>
            <c:spPr>
              <a:solidFill>
                <a:schemeClr val="accent6">
                  <a:shade val="46800"/>
                </a:schemeClr>
              </a:solidFill>
              <a:ln>
                <a:noFill/>
              </a:ln>
              <a:effectLst/>
            </c:spPr>
          </c:dPt>
          <c:dPt>
            <c:idx val="22"/>
            <c:bubble3D val="0"/>
            <c:spPr>
              <a:solidFill>
                <a:schemeClr val="accent6">
                  <a:shade val="41200"/>
                </a:schemeClr>
              </a:solidFill>
              <a:ln>
                <a:noFill/>
              </a:ln>
              <a:effectLst/>
            </c:spPr>
          </c:dPt>
          <c:dPt>
            <c:idx val="23"/>
            <c:bubble3D val="0"/>
            <c:spPr>
              <a:solidFill>
                <a:schemeClr val="accent6">
                  <a:shade val="35600"/>
                </a:schemeClr>
              </a:solidFill>
              <a:ln>
                <a:noFill/>
              </a:ln>
              <a:effectLst/>
            </c:spPr>
          </c:dPt>
          <c:dLbls>
            <c:delete val="1"/>
          </c:dLbls>
          <c:val>
            <c:numRef>
              <c:f>'[新建 Microsoft Excel 工作表.xlsx]Sheet2'!$A$1:$A$24</c:f>
              <c:numCache>
                <c:formatCode>General</c:formatCode>
                <c:ptCount val="2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6">
                  <a:tint val="35600"/>
                </a:schemeClr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6">
                  <a:tint val="41200"/>
                </a:schemeClr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6">
                  <a:tint val="46800"/>
                </a:schemeClr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6">
                  <a:tint val="52400"/>
                </a:schemeClr>
              </a:solidFill>
              <a:ln>
                <a:noFill/>
              </a:ln>
              <a:effectLst/>
            </c:spPr>
          </c:dPt>
          <c:dPt>
            <c:idx val="4"/>
            <c:bubble3D val="0"/>
            <c:spPr>
              <a:solidFill>
                <a:schemeClr val="accent6">
                  <a:tint val="58000"/>
                </a:schemeClr>
              </a:solidFill>
              <a:ln>
                <a:noFill/>
              </a:ln>
              <a:effectLst/>
            </c:spPr>
          </c:dPt>
          <c:dPt>
            <c:idx val="5"/>
            <c:bubble3D val="0"/>
            <c:spPr>
              <a:solidFill>
                <a:schemeClr val="accent6">
                  <a:tint val="63600"/>
                </a:schemeClr>
              </a:solidFill>
              <a:ln>
                <a:noFill/>
              </a:ln>
              <a:effectLst/>
            </c:spPr>
          </c:dPt>
          <c:dPt>
            <c:idx val="6"/>
            <c:bubble3D val="0"/>
            <c:spPr>
              <a:solidFill>
                <a:schemeClr val="accent6">
                  <a:tint val="69200"/>
                </a:schemeClr>
              </a:solidFill>
              <a:ln>
                <a:noFill/>
              </a:ln>
              <a:effectLst/>
            </c:spPr>
          </c:dPt>
          <c:dPt>
            <c:idx val="7"/>
            <c:bubble3D val="0"/>
            <c:spPr>
              <a:solidFill>
                <a:schemeClr val="accent6">
                  <a:tint val="74800"/>
                </a:schemeClr>
              </a:solidFill>
              <a:ln>
                <a:noFill/>
              </a:ln>
              <a:effectLst/>
            </c:spPr>
          </c:dPt>
          <c:dPt>
            <c:idx val="8"/>
            <c:bubble3D val="0"/>
            <c:spPr>
              <a:solidFill>
                <a:schemeClr val="accent6">
                  <a:tint val="80400"/>
                </a:schemeClr>
              </a:solidFill>
              <a:ln>
                <a:noFill/>
              </a:ln>
              <a:effectLst/>
            </c:spPr>
          </c:dPt>
          <c:dPt>
            <c:idx val="9"/>
            <c:bubble3D val="0"/>
            <c:spPr>
              <a:solidFill>
                <a:schemeClr val="accent6">
                  <a:tint val="86000"/>
                </a:schemeClr>
              </a:solidFill>
              <a:ln>
                <a:noFill/>
              </a:ln>
              <a:effectLst/>
            </c:spPr>
          </c:dPt>
          <c:dPt>
            <c:idx val="10"/>
            <c:bubble3D val="0"/>
            <c:spPr>
              <a:solidFill>
                <a:schemeClr val="accent6">
                  <a:tint val="91600"/>
                </a:schemeClr>
              </a:solidFill>
              <a:ln>
                <a:noFill/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tint val="97200"/>
                </a:schemeClr>
              </a:solidFill>
              <a:ln>
                <a:noFill/>
              </a:ln>
              <a:effectLst/>
            </c:spPr>
          </c:dPt>
          <c:dPt>
            <c:idx val="12"/>
            <c:bubble3D val="0"/>
            <c:spPr>
              <a:solidFill>
                <a:schemeClr val="accent6">
                  <a:shade val="97200"/>
                </a:schemeClr>
              </a:solidFill>
              <a:ln>
                <a:noFill/>
              </a:ln>
              <a:effectLst/>
            </c:spPr>
          </c:dPt>
          <c:dPt>
            <c:idx val="13"/>
            <c:bubble3D val="0"/>
            <c:spPr>
              <a:solidFill>
                <a:schemeClr val="accent6">
                  <a:shade val="91600"/>
                </a:schemeClr>
              </a:solidFill>
              <a:ln>
                <a:noFill/>
              </a:ln>
              <a:effectLst/>
            </c:spPr>
          </c:dPt>
          <c:dPt>
            <c:idx val="14"/>
            <c:bubble3D val="0"/>
            <c:spPr>
              <a:solidFill>
                <a:schemeClr val="accent6">
                  <a:shade val="86000"/>
                </a:schemeClr>
              </a:solidFill>
              <a:ln>
                <a:noFill/>
              </a:ln>
              <a:effectLst/>
            </c:spPr>
          </c:dPt>
          <c:dPt>
            <c:idx val="15"/>
            <c:bubble3D val="0"/>
            <c:spPr>
              <a:solidFill>
                <a:schemeClr val="accent6">
                  <a:shade val="80400"/>
                </a:schemeClr>
              </a:solidFill>
              <a:ln>
                <a:noFill/>
              </a:ln>
              <a:effectLst/>
            </c:spPr>
          </c:dPt>
          <c:dPt>
            <c:idx val="16"/>
            <c:bubble3D val="0"/>
            <c:spPr>
              <a:solidFill>
                <a:schemeClr val="accent6">
                  <a:shade val="74800"/>
                </a:schemeClr>
              </a:solidFill>
              <a:ln>
                <a:noFill/>
              </a:ln>
              <a:effectLst/>
            </c:spPr>
          </c:dPt>
          <c:dPt>
            <c:idx val="17"/>
            <c:bubble3D val="0"/>
            <c:spPr>
              <a:solidFill>
                <a:schemeClr val="accent6">
                  <a:shade val="69200"/>
                </a:schemeClr>
              </a:solidFill>
              <a:ln>
                <a:noFill/>
              </a:ln>
              <a:effectLst/>
            </c:spPr>
          </c:dPt>
          <c:dPt>
            <c:idx val="18"/>
            <c:bubble3D val="0"/>
            <c:spPr>
              <a:solidFill>
                <a:schemeClr val="accent6">
                  <a:shade val="63600"/>
                </a:schemeClr>
              </a:solidFill>
              <a:ln>
                <a:noFill/>
              </a:ln>
              <a:effectLst/>
            </c:spPr>
          </c:dPt>
          <c:dPt>
            <c:idx val="19"/>
            <c:bubble3D val="0"/>
            <c:spPr>
              <a:solidFill>
                <a:schemeClr val="accent6">
                  <a:shade val="58000"/>
                </a:schemeClr>
              </a:solidFill>
              <a:ln>
                <a:noFill/>
              </a:ln>
              <a:effectLst/>
            </c:spPr>
          </c:dPt>
          <c:dPt>
            <c:idx val="20"/>
            <c:bubble3D val="0"/>
            <c:spPr>
              <a:solidFill>
                <a:schemeClr val="accent6">
                  <a:shade val="52400"/>
                </a:schemeClr>
              </a:solidFill>
              <a:ln>
                <a:noFill/>
              </a:ln>
              <a:effectLst/>
            </c:spPr>
          </c:dPt>
          <c:dPt>
            <c:idx val="21"/>
            <c:bubble3D val="0"/>
            <c:spPr>
              <a:solidFill>
                <a:schemeClr val="accent6">
                  <a:shade val="46800"/>
                </a:schemeClr>
              </a:solidFill>
              <a:ln>
                <a:noFill/>
              </a:ln>
              <a:effectLst/>
            </c:spPr>
          </c:dPt>
          <c:dPt>
            <c:idx val="22"/>
            <c:bubble3D val="0"/>
            <c:spPr>
              <a:solidFill>
                <a:schemeClr val="accent6">
                  <a:shade val="41200"/>
                </a:schemeClr>
              </a:solidFill>
              <a:ln>
                <a:noFill/>
              </a:ln>
              <a:effectLst/>
            </c:spPr>
          </c:dPt>
          <c:dPt>
            <c:idx val="23"/>
            <c:bubble3D val="0"/>
            <c:spPr>
              <a:solidFill>
                <a:schemeClr val="accent6">
                  <a:shade val="35600"/>
                </a:schemeClr>
              </a:solidFill>
              <a:ln>
                <a:noFill/>
              </a:ln>
              <a:effectLst/>
            </c:spPr>
          </c:dPt>
          <c:dLbls>
            <c:delete val="1"/>
          </c:dLbls>
          <c:val>
            <c:numRef>
              <c:f>'[新建 Microsoft Excel 工作表.xlsx]Sheet2'!$A$1:$A$24</c:f>
              <c:numCache>
                <c:formatCode>General</c:formatCode>
                <c:ptCount val="2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2016-11-11T08:02:28Z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